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СЧЕТНАЯ ПАЛАТА ПОЛЕВСКОГО МУНИЦИПАЛЬНОГО ОКРУГА СВЕРДЛОВСКОЙ ОБЛАСТИ __________________________________________________________________</w:t>
      </w: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ИНФОРМАЦИЯ</w:t>
      </w: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ОБ ОСНОВНЫХ ИТОГАХ КОНТРОЛЬНОГО МЕРОПРИЯТИЯ</w:t>
      </w:r>
    </w:p>
    <w:p w:rsidR="00F75440" w:rsidRPr="009432E7" w:rsidRDefault="00F75440" w:rsidP="00F75440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z w:val="27"/>
          <w:szCs w:val="27"/>
          <w:lang w:eastAsia="ru-RU"/>
        </w:rPr>
      </w:pPr>
    </w:p>
    <w:p w:rsidR="00F75440" w:rsidRPr="009432E7" w:rsidRDefault="00F75440" w:rsidP="00F7544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Счетной палатой Полевского городского округа в соответствии с </w:t>
      </w:r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>пунктом 1.</w:t>
      </w:r>
      <w:r w:rsidR="0094687E">
        <w:rPr>
          <w:rFonts w:ascii="Times New Roman" w:eastAsia="Calibri" w:hAnsi="Times New Roman" w:cs="Times New Roman"/>
          <w:color w:val="000000"/>
          <w:sz w:val="27"/>
          <w:szCs w:val="27"/>
        </w:rPr>
        <w:t>1</w:t>
      </w:r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раздела 1 плана работы Счетной палаты Полевского городского округа на 202</w:t>
      </w:r>
      <w:r w:rsidR="0094687E">
        <w:rPr>
          <w:rFonts w:ascii="Times New Roman" w:eastAsia="Calibri" w:hAnsi="Times New Roman" w:cs="Times New Roman"/>
          <w:color w:val="000000"/>
          <w:sz w:val="27"/>
          <w:szCs w:val="27"/>
        </w:rPr>
        <w:t>5</w:t>
      </w:r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год, утвержденного распоряжением Счетной палаты Полевского городского округа от 26.12.202</w:t>
      </w:r>
      <w:r w:rsidR="0094687E">
        <w:rPr>
          <w:rFonts w:ascii="Times New Roman" w:eastAsia="Calibri" w:hAnsi="Times New Roman" w:cs="Times New Roman"/>
          <w:color w:val="000000"/>
          <w:sz w:val="27"/>
          <w:szCs w:val="27"/>
        </w:rPr>
        <w:t>4</w:t>
      </w:r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 № 6</w:t>
      </w:r>
      <w:r w:rsidR="0094687E">
        <w:rPr>
          <w:rFonts w:ascii="Times New Roman" w:eastAsia="Calibri" w:hAnsi="Times New Roman" w:cs="Times New Roman"/>
          <w:color w:val="000000"/>
          <w:sz w:val="27"/>
          <w:szCs w:val="27"/>
        </w:rPr>
        <w:t>4</w:t>
      </w:r>
      <w:r w:rsidRPr="009432E7">
        <w:rPr>
          <w:rFonts w:ascii="Times New Roman" w:eastAsia="Calibri" w:hAnsi="Times New Roman" w:cs="Times New Roman"/>
          <w:color w:val="000000"/>
          <w:sz w:val="27"/>
          <w:szCs w:val="27"/>
        </w:rPr>
        <w:t>,</w:t>
      </w:r>
      <w:r w:rsidRPr="009432E7">
        <w:rPr>
          <w:rFonts w:ascii="Times New Roman" w:eastAsia="Calibri" w:hAnsi="Times New Roman" w:cs="Times New Roman"/>
          <w:sz w:val="27"/>
          <w:szCs w:val="27"/>
        </w:rPr>
        <w:t xml:space="preserve"> распоряжения Счетной палаты Полевского городского округа от </w:t>
      </w:r>
      <w:r w:rsidR="0094687E">
        <w:rPr>
          <w:rFonts w:ascii="Times New Roman" w:eastAsia="Calibri" w:hAnsi="Times New Roman" w:cs="Times New Roman"/>
          <w:sz w:val="27"/>
          <w:szCs w:val="27"/>
        </w:rPr>
        <w:t>28</w:t>
      </w:r>
      <w:r w:rsidRPr="009432E7">
        <w:rPr>
          <w:rFonts w:ascii="Times New Roman" w:eastAsia="Calibri" w:hAnsi="Times New Roman" w:cs="Times New Roman"/>
          <w:sz w:val="27"/>
          <w:szCs w:val="27"/>
        </w:rPr>
        <w:t>.</w:t>
      </w:r>
      <w:r w:rsidR="0094687E">
        <w:rPr>
          <w:rFonts w:ascii="Times New Roman" w:eastAsia="Calibri" w:hAnsi="Times New Roman" w:cs="Times New Roman"/>
          <w:sz w:val="27"/>
          <w:szCs w:val="27"/>
        </w:rPr>
        <w:t>12</w:t>
      </w:r>
      <w:r w:rsidRPr="009432E7">
        <w:rPr>
          <w:rFonts w:ascii="Times New Roman" w:eastAsia="Calibri" w:hAnsi="Times New Roman" w:cs="Times New Roman"/>
          <w:sz w:val="27"/>
          <w:szCs w:val="27"/>
        </w:rPr>
        <w:t xml:space="preserve">.2024 № </w:t>
      </w:r>
      <w:r w:rsidR="0094687E">
        <w:rPr>
          <w:rFonts w:ascii="Times New Roman" w:eastAsia="Calibri" w:hAnsi="Times New Roman" w:cs="Times New Roman"/>
          <w:sz w:val="27"/>
          <w:szCs w:val="27"/>
        </w:rPr>
        <w:t>69</w:t>
      </w:r>
      <w:r w:rsidRPr="009432E7">
        <w:rPr>
          <w:rFonts w:ascii="Times New Roman" w:eastAsia="Calibri" w:hAnsi="Times New Roman" w:cs="Times New Roman"/>
          <w:sz w:val="27"/>
          <w:szCs w:val="27"/>
        </w:rPr>
        <w:t xml:space="preserve"> проведено контрольное мероприятие «Проверка использования субсидий, выделенных на выполнение муниципального задания муниципальному бюджетному </w:t>
      </w:r>
      <w:r w:rsidR="0094687E">
        <w:rPr>
          <w:rFonts w:ascii="Times New Roman" w:eastAsia="Calibri" w:hAnsi="Times New Roman" w:cs="Times New Roman"/>
          <w:sz w:val="27"/>
          <w:szCs w:val="27"/>
        </w:rPr>
        <w:t xml:space="preserve">образовательному учреждению дополнительного образования </w:t>
      </w:r>
      <w:r w:rsidRPr="009432E7">
        <w:rPr>
          <w:rFonts w:ascii="Times New Roman" w:eastAsia="Calibri" w:hAnsi="Times New Roman" w:cs="Times New Roman"/>
          <w:sz w:val="27"/>
          <w:szCs w:val="27"/>
        </w:rPr>
        <w:t>«</w:t>
      </w:r>
      <w:r w:rsidR="0094687E">
        <w:rPr>
          <w:rFonts w:ascii="Times New Roman" w:eastAsia="Calibri" w:hAnsi="Times New Roman" w:cs="Times New Roman"/>
          <w:sz w:val="27"/>
          <w:szCs w:val="27"/>
        </w:rPr>
        <w:t>Детская художественная</w:t>
      </w:r>
      <w:proofErr w:type="gramEnd"/>
      <w:r w:rsidR="0094687E">
        <w:rPr>
          <w:rFonts w:ascii="Times New Roman" w:eastAsia="Calibri" w:hAnsi="Times New Roman" w:cs="Times New Roman"/>
          <w:sz w:val="27"/>
          <w:szCs w:val="27"/>
        </w:rPr>
        <w:t xml:space="preserve"> школа</w:t>
      </w:r>
      <w:r w:rsidRPr="009432E7">
        <w:rPr>
          <w:rFonts w:ascii="Times New Roman" w:eastAsia="Calibri" w:hAnsi="Times New Roman" w:cs="Times New Roman"/>
          <w:sz w:val="27"/>
          <w:szCs w:val="27"/>
        </w:rPr>
        <w:t>» а в 202</w:t>
      </w:r>
      <w:r w:rsidR="0094687E">
        <w:rPr>
          <w:rFonts w:ascii="Times New Roman" w:eastAsia="Calibri" w:hAnsi="Times New Roman" w:cs="Times New Roman"/>
          <w:sz w:val="27"/>
          <w:szCs w:val="27"/>
        </w:rPr>
        <w:t>2, 2023</w:t>
      </w:r>
      <w:r w:rsidRPr="009432E7">
        <w:rPr>
          <w:rFonts w:ascii="Times New Roman" w:eastAsia="Calibri" w:hAnsi="Times New Roman" w:cs="Times New Roman"/>
          <w:sz w:val="27"/>
          <w:szCs w:val="27"/>
        </w:rPr>
        <w:t xml:space="preserve"> год</w:t>
      </w:r>
      <w:r w:rsidR="0094687E">
        <w:rPr>
          <w:rFonts w:ascii="Times New Roman" w:eastAsia="Calibri" w:hAnsi="Times New Roman" w:cs="Times New Roman"/>
          <w:sz w:val="27"/>
          <w:szCs w:val="27"/>
        </w:rPr>
        <w:t>ах»</w:t>
      </w:r>
      <w:r w:rsidRPr="009432E7">
        <w:rPr>
          <w:rFonts w:ascii="Times New Roman" w:eastAsia="Calibri" w:hAnsi="Times New Roman" w:cs="Times New Roman"/>
          <w:sz w:val="27"/>
          <w:szCs w:val="27"/>
        </w:rPr>
        <w:t>.</w:t>
      </w:r>
    </w:p>
    <w:p w:rsidR="00F75440" w:rsidRPr="009432E7" w:rsidRDefault="00F75440" w:rsidP="00F75440">
      <w:pPr>
        <w:pStyle w:val="a5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9432E7">
        <w:rPr>
          <w:rFonts w:ascii="Times New Roman" w:eastAsia="Calibri" w:hAnsi="Times New Roman"/>
          <w:sz w:val="27"/>
          <w:szCs w:val="27"/>
          <w:u w:val="single"/>
        </w:rPr>
        <w:t>Предмет контрольного мероприятия</w:t>
      </w:r>
      <w:r w:rsidRPr="009432E7">
        <w:rPr>
          <w:rFonts w:ascii="Times New Roman" w:eastAsia="Calibri" w:hAnsi="Times New Roman"/>
          <w:sz w:val="27"/>
          <w:szCs w:val="27"/>
        </w:rPr>
        <w:t>: деятельность объекта проверки по использованию средств местного бюджета, выделенных на выполнение муниципального задания.</w:t>
      </w:r>
    </w:p>
    <w:p w:rsidR="00F75440" w:rsidRPr="009432E7" w:rsidRDefault="00F75440" w:rsidP="00F754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432E7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Цель контрольного мероприятия:</w:t>
      </w: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 xml:space="preserve"> </w:t>
      </w:r>
      <w:r w:rsidRPr="009432E7">
        <w:rPr>
          <w:sz w:val="27"/>
          <w:szCs w:val="27"/>
        </w:rPr>
        <w:t xml:space="preserve"> </w:t>
      </w:r>
      <w:r w:rsidRPr="009432E7">
        <w:rPr>
          <w:rFonts w:ascii="Times New Roman" w:eastAsia="Times New Roman" w:hAnsi="Times New Roman" w:cs="Times New Roman"/>
          <w:sz w:val="27"/>
          <w:szCs w:val="27"/>
        </w:rPr>
        <w:t xml:space="preserve">проверить целевое и эффективное использование средств местного бюджета, выделенных на выполнение муниципального задания. </w:t>
      </w:r>
    </w:p>
    <w:p w:rsidR="00F75440" w:rsidRPr="009432E7" w:rsidRDefault="00F75440" w:rsidP="00F7544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32E7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Объект контрольного мероприятия</w:t>
      </w:r>
      <w:r w:rsidRPr="009432E7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: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муниципальное бюджетное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образовательное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учреждение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дополнительного образования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Детская художественная школа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». </w:t>
      </w:r>
    </w:p>
    <w:p w:rsidR="00F75440" w:rsidRPr="009432E7" w:rsidRDefault="00F75440" w:rsidP="00F75440">
      <w:pPr>
        <w:spacing w:after="0" w:line="240" w:lineRule="auto"/>
        <w:ind w:firstLine="708"/>
        <w:contextualSpacing/>
        <w:jc w:val="both"/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</w:pP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 xml:space="preserve">По результатам контрольного мероприятия Счетной палатой составлен акт от </w:t>
      </w:r>
      <w:r w:rsidR="0094687E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28</w:t>
      </w: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.</w:t>
      </w:r>
      <w:r w:rsidR="0094687E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02</w:t>
      </w: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.202</w:t>
      </w:r>
      <w:r w:rsidR="0094687E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5</w:t>
      </w: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 xml:space="preserve"> № </w:t>
      </w:r>
      <w:r w:rsidR="0094687E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1</w:t>
      </w:r>
      <w:r w:rsidRPr="009432E7">
        <w:rPr>
          <w:rFonts w:ascii="Times New Roman" w:eastAsia="Arial Unicode MS" w:hAnsi="Times New Roman" w:cs="Arial Unicode MS"/>
          <w:color w:val="000000"/>
          <w:sz w:val="27"/>
          <w:szCs w:val="27"/>
          <w:u w:color="000000"/>
          <w:bdr w:val="nil"/>
          <w:lang w:eastAsia="ru-RU"/>
        </w:rPr>
        <w:t>.</w:t>
      </w:r>
    </w:p>
    <w:p w:rsidR="00F75440" w:rsidRPr="009432E7" w:rsidRDefault="00F75440" w:rsidP="00F75440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</w:pP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Отчет о результатах контрольного мероприятия от </w:t>
      </w:r>
      <w:r w:rsidR="0094687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10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.</w:t>
      </w:r>
      <w:r w:rsidR="0094687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03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.202</w:t>
      </w:r>
      <w:r w:rsidR="0094687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5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 г. № </w:t>
      </w:r>
      <w:r w:rsidR="0094687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1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 утвержден распоряжением председателя Счетной палаты от </w:t>
      </w:r>
      <w:r w:rsidR="0094687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10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.</w:t>
      </w:r>
      <w:r w:rsidR="0094687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03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.202</w:t>
      </w:r>
      <w:r w:rsidR="0094687E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5</w:t>
      </w:r>
      <w:r w:rsidRPr="009432E7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 xml:space="preserve"> г. № </w:t>
      </w:r>
      <w:r w:rsidR="009464F1">
        <w:rPr>
          <w:rFonts w:ascii="Times New Roman" w:eastAsiaTheme="minorEastAsia" w:hAnsi="Times New Roman" w:cs="Times New Roman"/>
          <w:color w:val="000000"/>
          <w:sz w:val="27"/>
          <w:szCs w:val="27"/>
          <w:lang w:eastAsia="ru-RU"/>
        </w:rPr>
        <w:t>10.</w:t>
      </w:r>
    </w:p>
    <w:p w:rsidR="00A34271" w:rsidRDefault="00A34271" w:rsidP="00F7544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</w:p>
    <w:p w:rsidR="00F75440" w:rsidRPr="009432E7" w:rsidRDefault="00F75440" w:rsidP="00F75440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</w:pPr>
      <w:r w:rsidRPr="009432E7">
        <w:rPr>
          <w:rFonts w:ascii="Times New Roman" w:eastAsiaTheme="minorEastAsia" w:hAnsi="Times New Roman" w:cs="Times New Roman"/>
          <w:sz w:val="27"/>
          <w:szCs w:val="27"/>
          <w:u w:val="single"/>
          <w:lang w:eastAsia="ru-RU"/>
        </w:rPr>
        <w:t>В результате контрольного мероприятия установлено следующее: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. Объем проверенных в ходе контрольного мероприятия средств по расходам бюджета составил 27 243 786,93 руб., из них: в 2022 году – 12 983 994,55 руб., в 2023 году -  14 259 792,38 руб.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Проверено использования закрепленного за учреждением на праве оперативного управления движимого имущества на сумму 5 318 967,52 руб.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Средства субсидии на выполнение муниципального задания реализованы муниципальным бюджетным образовательным учреждением дополнительного образования «Детская художественная школа» </w:t>
      </w:r>
      <w:r w:rsidR="009464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также – МБОУ ДО «ДХШ» 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полном объеме в пределах лимитов бюджетных обязательств, доведенных учредителю, как получателю средств местного бюджета.</w:t>
      </w:r>
      <w:proofErr w:type="gramEnd"/>
    </w:p>
    <w:p w:rsidR="00952FC2" w:rsidRPr="00952FC2" w:rsidRDefault="00B23CA4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 Муниципальные нормативные</w:t>
      </w:r>
      <w:r w:rsidR="00952FC2"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правовые акты, регулирующие порядок управления и распоряжения имуществом, закрепленным за МБОУ ДО «ДХШ» на праве оперативного управления  приняты в соответствии требованиями действующего законодательства.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Право оперативного управления муниципальным недвижимым имуществом, закрепленным за МБОУ ДО «ДХШ», зарегистрировано в Управлении Федеральной службы государственной регистрации кадастра и картографии по Свердловской области в соответствии с требованиями пункта 1 статьи 131 Гражданского кодекса Российской Федерации.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Договор о закреплении муниципального имущества на праве оперативного управления за муниципальным бюджетным образовательным учреждением дополнительного образования «Детская художественная школа» от 01.12.2011 № 48-11 </w:t>
      </w:r>
      <w:r w:rsidR="009464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также – договор от 01.12.2011 № 48-11) 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содержит противоречивые и неоднозначные условия о документальном оформлении момента перехода (закрепления) имущества за учреждением, что не согласуется со статьей 431 Гражданского кодекса Российской Федерации, предусматривающей, что при толковании условий договора принимается во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внимание буквальное значение содержащихся в нем слов, и влечет за собой противоречия в толкования договорных условий в части определения момента (даты) возникновения у учреждения права оперативного управления муниципальным </w:t>
      </w:r>
      <w:r w:rsidRPr="00952FC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 xml:space="preserve">движимым имуществом. 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4. В нарушение пункта 1.2. договора о закреплении муниципального имущества на праве оперативного управления за муниципальным бюджетным образовательным учреждением дополнительного образования «Детская художественная школа» от 01.12.2011 № 48-11, между сторонами договора не оформлялись акты приема-передачи имущества, кроме акта, подписанного сторонами на момент непосредственного заключения  договора, т.е. на 01.12.2011 года.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Отсутствие актов приема-передачи имущества (после 01.12.2011 года) не позволяет определить момент (дату) передачи вновь приобретенного движимого имущества в оперативное управление, что влечет за собой нарушение пункта 1 статьи 299 Гражданского кодекса Российской Федерации, предусматривающего, что право оперативного управления имуществом, в отношении которого собственником принято решение о его закреплении за учреждением, возникает у этого учреждения с момента передачи имущества, если иное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установлено законом и иными правовыми актами или решением собственника.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</w:t>
      </w: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нарушение пункта 4 Порядка определения видов особо ценного движимого имущества и перечней особо ценного движимого имуществ автономных и муниципальных бюджетных учреждений Полевского городского округа, утвержденного постановлением Главы Полевского городского округа от 16.02.2011 № 400, после подписания сторонами перечня </w:t>
      </w:r>
      <w:r w:rsidRPr="00952FC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особо ценного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движимого имущества </w:t>
      </w:r>
      <w:r w:rsidRPr="00952FC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от 10.03.2022 года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, являющегося приложением к договору от 01.12.2011 № 48-11, вновь приобретенное особо ценное движимое имущество в договор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включалось, дополнительные соглашения к договору о дополнении перечня имущества и/или изложения  его в новой редакции после указанной даты не оформлялись.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6.</w:t>
      </w:r>
      <w:r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</w:t>
      </w:r>
      <w:proofErr w:type="gramStart"/>
      <w:r w:rsidRPr="00952FC2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В нарушение пункта 3.6 Положения о порядке передачи имущества в хозяйственное ведение муниципальным унитарным предприятиям и оперативное управление муниципальным учреждениям и распоряжения имуществом, переданным в хозяйственное ведение и оперативное управление, </w:t>
      </w:r>
      <w:r w:rsidRPr="00952FC2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lastRenderedPageBreak/>
        <w:t xml:space="preserve">утвержденного решением Думы Полевского городского округа  от 24.10.2013 № 19 и пункта 2.4.4. договора от 01.12.2011 № 48-11 на исключение из перечня имущества, </w:t>
      </w:r>
      <w:r w:rsidRPr="00952FC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не являющегося</w:t>
      </w:r>
      <w:r w:rsidRPr="00952FC2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</w:t>
      </w:r>
      <w:r w:rsidRPr="00952FC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особо ценным</w:t>
      </w:r>
      <w:r w:rsidRPr="00952FC2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>, по дополнительному  соглашению от 04.10.2022</w:t>
      </w:r>
      <w:proofErr w:type="gramEnd"/>
      <w:r w:rsidRPr="00952FC2"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  <w:t xml:space="preserve"> к указанному договору, не представлен акт о списании данного имущества.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7. Действия  МБОУ ДО «ДХШ» по списанию </w:t>
      </w:r>
      <w:r w:rsidRPr="00952FC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особо ценного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52FC2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движимого имущества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(презентационного оборудования) соответствуют пункту 3 статьи 298 Гражданского кодекса Российской Федерации, требованиям принятых муниципальных нормативных актов, условиям договора от 01.12.2011 № 48-11.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</w:t>
      </w: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Муниципальные задания МБОУ ДО «ДХШ» сформированы в проверяемый период на оказание услуги, определенной в качестве основного вида деятельности учреждения, содержащегося в пункте 2.3 Устава МБОУ ДО «ДХШ», что соответствует требованиям пункта 3 статьи 9.2 Федерального закона от 12.01.1996 № 7-ФЗ «О некоммерческих организациях» и пункту 2 Порядка формирования муниципального задания на оказание муниципальных услуг (выполнение работ) в отношении муниципальных учреждений Полевского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городского округа и финансовое обеспечение выполнения муниципального задания, утвержденного постановлением Администрации Полевского городского округа от 25.10.2019 № 571-ПА.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Наименование муниципальной услуги, оказываемой МБОУ ДО «ДХШ», и ее показатели соответствуют общероссийскому базовому перечню (классификатору) государственных и муниципальных услуг и работ, размещенному на Едином портале бюджетной системы Российской Федерации «Электронный бюджет».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итогам 2022 и 2023 годов муниципальное бюджетное образовательное учреждение дополнительного образования «Детская художественная школа» обеспечило достижение установленных муниципальным заданием на 2022 и 2023 годы значений показателей качества и объема муниципальной услуги.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9. Объем расходов на выплаты работникам основного персонала установлен: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2022 год – 11 782 424,69 руб.;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2023 год – 13 321 736,11 руб.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Неисполненных бюджетных назначений в 2022 и 2023 годах за счет средств субсидии на выполнение муниципального задания на выплату заработной платы основному персоналу, начислений и социальных пособий в ходе проверки не установлено.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Муниципальная нормативная правовая база, регулирующая систему оплаты труда в муниципальном учреждении, включая локальные правовые акты учреждения</w:t>
      </w:r>
      <w:r w:rsidR="00420D7F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соответствует требованиям статьей 135 и 144 Трудового кодекса Российской Федерации.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Нарушений при начислении оплаты труда в учреждении не установлено.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10. Нарушений в использовании средств субсидий на приобретение коммунальных и прочих услуг (работ) в ходе контрольного мероприятия не установлено.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11. Предоставление АО «</w:t>
      </w:r>
      <w:proofErr w:type="spell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ЭнергосбыТ</w:t>
      </w:r>
      <w:proofErr w:type="spell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Плюс» счета на оплату по договору энергоснабжения от 01.01.2023 г. № ЭЭ0407-157724 после формирования 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МБОУ ДО «ДХШ» годовой финансовой отчетности повлекло за собой расхождение данных бухгалтерского учета </w:t>
      </w:r>
      <w:r w:rsidR="009464F1">
        <w:rPr>
          <w:rFonts w:ascii="Times New Roman" w:eastAsia="Times New Roman" w:hAnsi="Times New Roman" w:cs="Times New Roman"/>
          <w:sz w:val="27"/>
          <w:szCs w:val="27"/>
          <w:lang w:eastAsia="ru-RU"/>
        </w:rPr>
        <w:t>с данными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акта сверки взаимных расчетов за 2023 год, что свидетельствует о ненадлежащем </w:t>
      </w: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контроле за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своевременн</w:t>
      </w:r>
      <w:r w:rsidR="009464F1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остью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предоставлени</w:t>
      </w:r>
      <w:r w:rsidR="009464F1"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контрагентами </w:t>
      </w:r>
      <w:r w:rsidR="00C739CA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первичных учетных</w:t>
      </w:r>
      <w:r w:rsidR="009464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документов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 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 В ходе проверки соблюдения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8274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также – Федеральный закон № 44-ФЗ) 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осуществлении МБОУ ДО «ДХШ» закупок в целях выполнения муниципального задания установлено: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конкурентные способы определения (выбора) поставщиков (подрядчиков, исполнителей) в проверяемый период МБОУ ДО «ДХШ» не применялись. Все закупки в целях выполнения муниципального задания осуществлялись путем заключения договоров с единственным поставщиком (подрядчиком, исполнителем). Контракты согласно Планам-графикам закупок заключались на основании пунктов 4 и 5 части 1 статьи 93 Федерального закона № 44-ФЗ, что в силу части 1 статьи 103 указанного федерального закона не требует внесения информации о контрактах и об их исполнении в Реестр контрактов, заключенных заказчиком (в Единую информационную систему (ЕИС));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во исполнение требований части 2 статьи 38 Федерального закона № 44-ФЗ приказами Директора МБОУ ДО «ДХШ» назначен контрактный управляющий для осуществления закупок товаров, работ, услуг и определены функции и полномочия контрактного управляющего. В соответствие с требованиями части 6 статьи 38 Федерального закона № 44-ФЗ квалификация контрактного управляющего МБОУ ДО «ДХШ»   в 2023 году подтверждена удостоверением о повышении квалификации.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Подтверждающий квалификацию документ, распространяющий свое действие на период 2022 года, в нарушение части 6 статьи 38 Федерального закона № 44-ФЗ в ходе проверки не предоставлен.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- сформированные на основании плана ФХД Планы-графики закупок товаров, работ, услуг МБОУ ДО «ДХШ» утверждены в проверяемый период и размещены в ЕИС с соблюдением сроков, установленных частью 6 статьи 16 Федерального закона № 44-ФЗ;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нарушении пункта 1 статьи 23 Федерального закона № 44-ФЗ МБОУ ДО «ДХШ» во всех 10 заключенных в целях выполнения муниципального задания контрактах не указаны идентификационные коды закупки (ИКЗ);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827436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нарушение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требований части 2 статьи 34 Федерального закона № 44-ФЗ 2 контракта теплоснабжения и поставки горячей воды, заключенные в 2022 и 2023 годах с ОАО «</w:t>
      </w:r>
      <w:proofErr w:type="spell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Полевская</w:t>
      </w:r>
      <w:proofErr w:type="spell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коммунальная компания» и 1 контракт энергоснабжения, заключенный в 2023 году с АО «</w:t>
      </w:r>
      <w:proofErr w:type="spell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ЭнергосбыТ</w:t>
      </w:r>
      <w:proofErr w:type="spell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Плюс», не содержат обязательное условие о твердости и неизменности цены контракта на весь период его действия;  </w:t>
      </w:r>
      <w:proofErr w:type="gramEnd"/>
    </w:p>
    <w:p w:rsidR="00D02AB7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 нарушение статьи 309 Гражданского кодекса Российской Федерации, предусматривающей, что обязательства должны исполняться надлежащим образом в соответствии с условиями обязательства и требованиями закона, 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иных правовых актов, в нарушение условий  контракта № 3/2023 от 30.11.2023</w:t>
      </w:r>
      <w:r w:rsidR="00D02AB7">
        <w:rPr>
          <w:rFonts w:ascii="Times New Roman" w:eastAsia="Times New Roman" w:hAnsi="Times New Roman" w:cs="Times New Roman"/>
          <w:sz w:val="27"/>
          <w:szCs w:val="27"/>
          <w:lang w:eastAsia="ru-RU"/>
        </w:rPr>
        <w:t>, заключенного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ООО ЧОП «Варди»</w:t>
      </w:r>
      <w:r w:rsidR="00D02AB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оплачены охранные услуги до окончания срока их оказания и до даты подписания Акта сдачи-приемки оказанных услуг от 31.12.2023 г. </w:t>
      </w:r>
      <w:proofErr w:type="gramEnd"/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Также в нарушение условий 2-х лицензионных договоров, заключенных с АО «ПФ «СКБ Контур», предусматривающих частичное авансирование, оплата услуг </w:t>
      </w: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произведена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МБОУ ДО «ДХШ» единовременным 100 % платежом после фактического оказания услуг с соблюдением сроков, установленных договорами  для окончательного расчета.       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заключенные МБОУ ДО «ДХШ» с целью выполнения муниципального задания контракты (договоры) реализованы в течение 2022 и 2023 годов в полном объеме в пределах утвержденных средств бюджета</w:t>
      </w:r>
      <w:r w:rsidR="008274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Нарушений сроков исполнения сторонами принятых обязательств, в том числе сроков оплаты оказанных услуг (выполненных работ) в ходе контрольного мероприятия не установлено.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выявлены недостатки в работе контрактного управляющего МБОУ ДО «ДХШ» при согласовании условий контракта энергоснабжения, заключенного в 2023 году с АО «</w:t>
      </w:r>
      <w:proofErr w:type="spell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ЭнергосбыТ</w:t>
      </w:r>
      <w:proofErr w:type="spell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Плюс»</w:t>
      </w:r>
      <w:r w:rsidR="0082743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части включения в контракте условий о том, что датой оплаты считается дата поступления денежных средств на расчетный счет или в кассу гарантирующего поставщика (АО «</w:t>
      </w:r>
      <w:proofErr w:type="spell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ЭнергосбыТ</w:t>
      </w:r>
      <w:proofErr w:type="spell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Плюс»). Наличие подобных формулировок в контрактах, при отсутствии должной осмотрительности может повлечь нарушение сроков исполнения заказчиком обязательств по оплате оказанных услуг (выполненных работ); 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- в преамбулах контрактов на оказание охранных услуг с ООО ЧОП «Варди», контракта энергоснабжения с АО «</w:t>
      </w:r>
      <w:proofErr w:type="spell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ЭнергосбыТ</w:t>
      </w:r>
      <w:proofErr w:type="spell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Плюс»,  лицензионных договоров с АО «ПФ «СКБ Контур» установлено отсутствие указания структурных единиц (пункты, части и статьи) Федерального закона № 44-ФЗ, на основании которых данные контракты (договоры) заключены. </w:t>
      </w:r>
      <w:proofErr w:type="gramStart"/>
      <w:r w:rsidR="008274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Данный 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недостаток, допущенный при заключении контрактов, несет потенциальную угрозу нарушения ограничений по годовому объему закупок при заключении контрактов с единственным поставщиком (подрядчиком, исполнителем), установленных пунктом 4 части 1 статьи 93 Федерального закона № 44-ФЗ, а также может послужить </w:t>
      </w:r>
      <w:r w:rsidR="00D02A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необоснованным </w:t>
      </w: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основанием для привлечения заказчика к ответственности за нарушение требований статьи 103 Федерального закона</w:t>
      </w:r>
      <w:r w:rsidR="00D46F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44-ФЗ</w:t>
      </w:r>
      <w:bookmarkStart w:id="0" w:name="_GoBack"/>
      <w:bookmarkEnd w:id="0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предусматривающей сроки и объем внесения информации в реестр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контрактов;</w:t>
      </w:r>
    </w:p>
    <w:p w:rsidR="00D02AB7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при определении цены контрактов на оказание охранных услуг, МБОУ ДО «ДХШ» не в полной мере реализованы рекомендованные процедуры определения цены контрактов, заключаемых с единственным поставщиком (подрядчиком, исполнителем), а именно: при применении метода сопоставимых рыночных цен (анализа </w:t>
      </w: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рынка)</w:t>
      </w:r>
      <w:r w:rsidR="00D02AB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учреждение ограничивалось только одной из процедур, рекомендованных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</w:t>
      </w: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утвержденными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приказом Министерства экономического развития Российской Федерации от 02.10.2013 № 567.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 выборе исполнителя охранных услуг принято коммерческое предложение с ценовой информацией по состоянию на 2021 год, информации о пересчете цен с использованием порядка, предусмотренного пунктом 3.18 указанных методических рекомендаций, не представлено.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 подписании дополнительного соглашения от 30.12.2022  к контракту теплоснабжения и поставки горячей воды от 17.01.2022 № 46-ОТ/01/22 с ОАО «</w:t>
      </w:r>
      <w:proofErr w:type="spell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Полевская</w:t>
      </w:r>
      <w:proofErr w:type="spell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коммунальная компания», увеличивающего цену контракта в связи с увеличением тарифов на услуги, что предусмотрено пунктом 5 части 1 статьи 95 Федерального закона № 44-ФЗ, в текст дополнительного соглашения некорректно включены периоды, в которые услуги не оказывались и не оплачивались. </w:t>
      </w:r>
      <w:proofErr w:type="gramEnd"/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нарушении пункта 1 статьи 424 гражданского кодекса Российской Федерации указанное дополнительное соглашение подписано сторонами после произведения полного расчета по контракту. Несвоевременное внесение изменений в условия контракта, касающееся увеличение стоимости услуг, после их фактической оплаты свидетельствует об оплате услуг по несогласованным ценам.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дополнительное соглашение от 29.12.2023 г. к контракту теплоснабжения и поставки горячей воды от 18.01.2023 № 46-ОТ/01/23 с ОАО «</w:t>
      </w:r>
      <w:proofErr w:type="spell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Полевская</w:t>
      </w:r>
      <w:proofErr w:type="spell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коммунальная компания», увеличивающее цену контракта в связи с увеличением фактического объема оказанных услуг в пределах 10%,  что допускается пунктом 1.2. части 1 статьи 95 Федерального закона № 44-ФЗ, подписано сторонами после произведения полного расчета по контракту.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Основание увеличения цены контракта сторонами в дополнительном соглашении не указано, изменение в показатели объема услуг не внесены. Ненадлежащее и несвоевременное оформление указанного дополнительного соглашения свидетельствует о недостатках в работе контрактного управляющего МБОУ ДО «ДХШ».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13. </w:t>
      </w: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ходе проверки использования средств субсидий на уплату налогов, пошлин и сборов выявлено несоответствие налоговой базы в расчете (обосновании) к планам ФХД на 2022 и 2023 годы и налоговой базы, указанной в налоговой декларации, что свидетельствует о ненадлежащем применении порядка расчета налоговой базы по налогу на имущество за отчетный период, установленного пунктом 4 статьи 376 Налогового кодекса Российской Федерации при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формировании</w:t>
      </w:r>
      <w:proofErr w:type="gramEnd"/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учреждением плана ФХД.  </w:t>
      </w:r>
    </w:p>
    <w:p w:rsidR="00952FC2" w:rsidRPr="00952FC2" w:rsidRDefault="00952FC2" w:rsidP="00952FC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2FC2">
        <w:rPr>
          <w:rFonts w:ascii="Times New Roman" w:eastAsia="Times New Roman" w:hAnsi="Times New Roman" w:cs="Times New Roman"/>
          <w:sz w:val="27"/>
          <w:szCs w:val="27"/>
          <w:lang w:eastAsia="ru-RU"/>
        </w:rPr>
        <w:t>14. По результатам ежегодной инвентаризации имущества и обязательств, проведенной МБОУ ДО «ДХШ» на основании приказов директора учреждения, с учетом Методических указаний по инвентаризации имущества и финансовых обязательств, утвержденных приказом Минфина РФ от 13.06.1995 № 49, по состоянию на 01.12.2022 года и на 01.12.2023 года отклонений не выявлено.</w:t>
      </w:r>
    </w:p>
    <w:p w:rsidR="00952FC2" w:rsidRDefault="00952FC2" w:rsidP="00A23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4687E" w:rsidRDefault="00A23535" w:rsidP="00A23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фактам выявленных нарушений Счетной палатой Полевского  муниципального округа Свердловской области принято решение о направлении представления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директору</w:t>
      </w:r>
      <w:r w:rsidR="000411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бюджетного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образовательного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учреждения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дополнительного образования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Детская художественная школа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r w:rsidR="0094687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предупреждению и недопущению выявленных нарушений и недостатков в дальнейшей работе учреждения.</w:t>
      </w:r>
    </w:p>
    <w:p w:rsidR="00A23535" w:rsidRPr="009432E7" w:rsidRDefault="0094687E" w:rsidP="00A23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Органу местного самоуправления Управление культурой Полевского муниципального округа Свердловской области </w:t>
      </w:r>
      <w:r w:rsidR="00A34271" w:rsidRP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учредителю и главному распорядителю бюджетных средств муниципального бюджетного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образовательного </w:t>
      </w:r>
      <w:r w:rsidR="00A34271" w:rsidRP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учреждения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дополнительного образования </w:t>
      </w:r>
      <w:r w:rsidR="00A34271" w:rsidRP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Детская художественная школа» направлено </w:t>
      </w:r>
      <w:r w:rsidR="00A34271" w:rsidRP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информационное письмо.</w:t>
      </w:r>
    </w:p>
    <w:p w:rsidR="00A23535" w:rsidRPr="009432E7" w:rsidRDefault="00A23535" w:rsidP="00A235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Материалы проверки направлены в Прокуратуру города Полевского.</w:t>
      </w:r>
    </w:p>
    <w:p w:rsidR="00A23535" w:rsidRPr="009432E7" w:rsidRDefault="00A23535" w:rsidP="00F7544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3535" w:rsidRPr="009432E7" w:rsidRDefault="00A23535" w:rsidP="00F7544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23535" w:rsidRPr="009432E7" w:rsidRDefault="00A23535" w:rsidP="00F7544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440" w:rsidRPr="009432E7" w:rsidRDefault="00F75440" w:rsidP="00F7544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Инспектор Счетной палаты</w:t>
      </w:r>
    </w:p>
    <w:p w:rsidR="00F75440" w:rsidRPr="009432E7" w:rsidRDefault="00F75440" w:rsidP="00F7544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Полевского </w:t>
      </w:r>
      <w:r w:rsidR="00402143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муниципального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округа</w:t>
      </w:r>
      <w:r w:rsidR="00402143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402143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</w:t>
      </w:r>
      <w:r w:rsid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</w:t>
      </w: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Т.Е. </w:t>
      </w:r>
      <w:proofErr w:type="spellStart"/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>Фарнина</w:t>
      </w:r>
      <w:proofErr w:type="spellEnd"/>
    </w:p>
    <w:p w:rsidR="00F75440" w:rsidRPr="009432E7" w:rsidRDefault="00F75440" w:rsidP="00F7544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440" w:rsidRPr="009432E7" w:rsidRDefault="00F75440" w:rsidP="00F7544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75440" w:rsidRPr="009432E7" w:rsidRDefault="00F75440" w:rsidP="00F7544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Инспектор Счетной палаты </w:t>
      </w:r>
    </w:p>
    <w:p w:rsidR="00F75440" w:rsidRPr="009432E7" w:rsidRDefault="00402143" w:rsidP="00F7544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Полевского муниципального округа СО                                </w:t>
      </w:r>
      <w:r w:rsidR="00A3427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</w:t>
      </w:r>
      <w:r w:rsidR="00F75440" w:rsidRPr="009432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Н.А. Гурова </w:t>
      </w:r>
    </w:p>
    <w:p w:rsidR="0000655E" w:rsidRPr="009432E7" w:rsidRDefault="0000655E">
      <w:pPr>
        <w:rPr>
          <w:sz w:val="27"/>
          <w:szCs w:val="27"/>
        </w:rPr>
      </w:pPr>
    </w:p>
    <w:sectPr w:rsidR="0000655E" w:rsidRPr="009432E7" w:rsidSect="0094687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87E" w:rsidRDefault="0094687E">
      <w:pPr>
        <w:spacing w:after="0" w:line="240" w:lineRule="auto"/>
      </w:pPr>
      <w:r>
        <w:separator/>
      </w:r>
    </w:p>
  </w:endnote>
  <w:endnote w:type="continuationSeparator" w:id="0">
    <w:p w:rsidR="0094687E" w:rsidRDefault="0094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87E" w:rsidRDefault="0094687E">
      <w:pPr>
        <w:spacing w:after="0" w:line="240" w:lineRule="auto"/>
      </w:pPr>
      <w:r>
        <w:separator/>
      </w:r>
    </w:p>
  </w:footnote>
  <w:footnote w:type="continuationSeparator" w:id="0">
    <w:p w:rsidR="0094687E" w:rsidRDefault="00946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08935"/>
      <w:docPartObj>
        <w:docPartGallery w:val="Page Numbers (Top of Page)"/>
        <w:docPartUnique/>
      </w:docPartObj>
    </w:sdtPr>
    <w:sdtEndPr/>
    <w:sdtContent>
      <w:p w:rsidR="0094687E" w:rsidRDefault="0094687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F4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4687E" w:rsidRDefault="009468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F1A"/>
    <w:rsid w:val="0000655E"/>
    <w:rsid w:val="000411C8"/>
    <w:rsid w:val="00317319"/>
    <w:rsid w:val="00400F1A"/>
    <w:rsid w:val="00402143"/>
    <w:rsid w:val="00420D7F"/>
    <w:rsid w:val="004734C7"/>
    <w:rsid w:val="00827436"/>
    <w:rsid w:val="009432E7"/>
    <w:rsid w:val="009464F1"/>
    <w:rsid w:val="0094687E"/>
    <w:rsid w:val="00952FC2"/>
    <w:rsid w:val="00A23535"/>
    <w:rsid w:val="00A34271"/>
    <w:rsid w:val="00A81054"/>
    <w:rsid w:val="00B23CA4"/>
    <w:rsid w:val="00BD6CE1"/>
    <w:rsid w:val="00C739CA"/>
    <w:rsid w:val="00C830F0"/>
    <w:rsid w:val="00D02AB7"/>
    <w:rsid w:val="00D46F4C"/>
    <w:rsid w:val="00F7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5440"/>
  </w:style>
  <w:style w:type="paragraph" w:styleId="a5">
    <w:name w:val="List Paragraph"/>
    <w:basedOn w:val="a"/>
    <w:uiPriority w:val="34"/>
    <w:qFormat/>
    <w:rsid w:val="00F75440"/>
    <w:pPr>
      <w:widowControl w:val="0"/>
      <w:suppressAutoHyphens/>
      <w:spacing w:after="0" w:line="240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5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5440"/>
  </w:style>
  <w:style w:type="paragraph" w:styleId="a5">
    <w:name w:val="List Paragraph"/>
    <w:basedOn w:val="a"/>
    <w:uiPriority w:val="34"/>
    <w:qFormat/>
    <w:rsid w:val="00F75440"/>
    <w:pPr>
      <w:widowControl w:val="0"/>
      <w:suppressAutoHyphens/>
      <w:spacing w:after="0" w:line="240" w:lineRule="auto"/>
      <w:ind w:left="720"/>
      <w:contextualSpacing/>
    </w:pPr>
    <w:rPr>
      <w:rFonts w:ascii="Calibri" w:eastAsia="Times New Roman" w:hAnsi="Calibri" w:cs="Times New Roman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2627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Вероника</cp:lastModifiedBy>
  <cp:revision>14</cp:revision>
  <cp:lastPrinted>2025-03-16T15:09:00Z</cp:lastPrinted>
  <dcterms:created xsi:type="dcterms:W3CDTF">2025-01-09T09:43:00Z</dcterms:created>
  <dcterms:modified xsi:type="dcterms:W3CDTF">2025-03-17T05:31:00Z</dcterms:modified>
</cp:coreProperties>
</file>