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B3D" w:rsidRPr="00810689" w:rsidRDefault="00C80B3D" w:rsidP="00C80B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106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СЧЕТНАЯ ПАЛАТА ПОЛЕВСКОГО ГОРОДСКОГО ОКРУГА </w:t>
      </w:r>
      <w:r w:rsidRPr="0081068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</w:t>
      </w:r>
    </w:p>
    <w:p w:rsidR="00C80B3D" w:rsidRPr="00810689" w:rsidRDefault="00C80B3D" w:rsidP="00C80B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0B3D" w:rsidRPr="00810689" w:rsidRDefault="00C80B3D" w:rsidP="00C80B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0689">
        <w:rPr>
          <w:rFonts w:ascii="Times New Roman" w:hAnsi="Times New Roman" w:cs="Times New Roman"/>
          <w:b/>
          <w:color w:val="000000"/>
          <w:sz w:val="28"/>
          <w:szCs w:val="28"/>
        </w:rPr>
        <w:t>ИНФОРМАЦИЯ</w:t>
      </w:r>
    </w:p>
    <w:p w:rsidR="00C80B3D" w:rsidRPr="009113F2" w:rsidRDefault="00C80B3D" w:rsidP="00C80B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13F2">
        <w:rPr>
          <w:rFonts w:ascii="Times New Roman" w:hAnsi="Times New Roman" w:cs="Times New Roman"/>
          <w:b/>
          <w:color w:val="000000"/>
          <w:sz w:val="28"/>
          <w:szCs w:val="28"/>
        </w:rPr>
        <w:t>ОБ ОСНОВНЫХ ИТОГАХ КОНТРОЛЬНОГО МЕРОПРИЯТИЯ</w:t>
      </w:r>
    </w:p>
    <w:p w:rsidR="00C80B3D" w:rsidRPr="009113F2" w:rsidRDefault="00C80B3D" w:rsidP="00C80B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0B3D" w:rsidRPr="00C80B3D" w:rsidRDefault="00C80B3D" w:rsidP="00C80B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11800">
        <w:rPr>
          <w:rFonts w:ascii="Times New Roman" w:hAnsi="Times New Roman" w:cs="Times New Roman"/>
          <w:color w:val="000000"/>
          <w:sz w:val="28"/>
          <w:szCs w:val="28"/>
        </w:rPr>
        <w:t xml:space="preserve">Счетной палатой Полевского городского округа на основании </w:t>
      </w:r>
      <w:r w:rsidRPr="00C80B3D">
        <w:rPr>
          <w:rFonts w:ascii="Times New Roman" w:hAnsi="Times New Roman" w:cs="Times New Roman"/>
          <w:color w:val="000000"/>
          <w:sz w:val="28"/>
          <w:szCs w:val="28"/>
        </w:rPr>
        <w:t>пункта 1.8 раздела 1 плана работы Счетной палаты Полевского городского округа на 2022 год</w:t>
      </w:r>
      <w:r w:rsidR="00012CA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12CAD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 w:rsidR="00012CA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12CAD">
        <w:rPr>
          <w:rFonts w:ascii="Times New Roman" w:hAnsi="Times New Roman" w:cs="Times New Roman"/>
          <w:color w:val="000000"/>
          <w:sz w:val="28"/>
          <w:szCs w:val="28"/>
        </w:rPr>
        <w:t xml:space="preserve"> 1.1 </w:t>
      </w:r>
      <w:r w:rsidR="00012CAD" w:rsidRPr="004A36C9">
        <w:rPr>
          <w:rFonts w:ascii="Times New Roman" w:hAnsi="Times New Roman" w:cs="Times New Roman"/>
          <w:color w:val="000000"/>
          <w:sz w:val="28"/>
          <w:szCs w:val="28"/>
        </w:rPr>
        <w:t>раздела 1 плана работы Счетной палаты Полевского городского округа на 202</w:t>
      </w:r>
      <w:r w:rsidR="00012CA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12CAD" w:rsidRPr="004A36C9">
        <w:rPr>
          <w:rFonts w:ascii="Times New Roman" w:hAnsi="Times New Roman" w:cs="Times New Roman"/>
          <w:color w:val="000000"/>
          <w:sz w:val="28"/>
          <w:szCs w:val="28"/>
        </w:rPr>
        <w:t xml:space="preserve"> год, утвержденного распоряжением Счетной палаты Полевского городского округа от 2</w:t>
      </w:r>
      <w:r w:rsidR="00012CAD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012CAD" w:rsidRPr="004A36C9">
        <w:rPr>
          <w:rFonts w:ascii="Times New Roman" w:hAnsi="Times New Roman" w:cs="Times New Roman"/>
          <w:color w:val="000000"/>
          <w:sz w:val="28"/>
          <w:szCs w:val="28"/>
        </w:rPr>
        <w:t>.12.202</w:t>
      </w:r>
      <w:r w:rsidR="00012CA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012CAD" w:rsidRPr="004A36C9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012CAD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012CAD" w:rsidRPr="004A36C9">
        <w:rPr>
          <w:rFonts w:ascii="Times New Roman" w:hAnsi="Times New Roman" w:cs="Times New Roman"/>
          <w:color w:val="000000"/>
          <w:sz w:val="28"/>
          <w:szCs w:val="28"/>
        </w:rPr>
        <w:t>8 (с изменениями)</w:t>
      </w:r>
      <w:r w:rsidR="00012CAD">
        <w:rPr>
          <w:rFonts w:ascii="Times New Roman" w:hAnsi="Times New Roman" w:cs="Times New Roman"/>
          <w:color w:val="000000"/>
          <w:sz w:val="28"/>
          <w:szCs w:val="28"/>
        </w:rPr>
        <w:t>,</w:t>
      </w:r>
      <w:bookmarkStart w:id="0" w:name="_GoBack"/>
      <w:bookmarkEnd w:id="0"/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проведено контрольное мероприятие «Проверка законности и эффективности использования средств местного бюджета муниципальным бюджетным</w:t>
      </w:r>
      <w:proofErr w:type="gramEnd"/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учреждением культуры «Городской центр досуга «Азов» в 2019, 2020 и 2021 годах».</w:t>
      </w:r>
    </w:p>
    <w:p w:rsidR="00C80B3D" w:rsidRPr="00C80B3D" w:rsidRDefault="00C80B3D" w:rsidP="00C80B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>Цель контрольного мероприятия: проверить целевое и эффективное использования средств местного бюджета, выделенных в виде субсидии на выполнение муниципального задания и на иные цели.</w:t>
      </w:r>
      <w:proofErr w:type="gramEnd"/>
    </w:p>
    <w:p w:rsidR="00C80B3D" w:rsidRPr="00C80B3D" w:rsidRDefault="00C80B3D" w:rsidP="00C80B3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B3D">
        <w:rPr>
          <w:rFonts w:ascii="Times New Roman" w:hAnsi="Times New Roman" w:cs="Times New Roman"/>
          <w:color w:val="000000"/>
          <w:sz w:val="28"/>
          <w:szCs w:val="28"/>
        </w:rPr>
        <w:t>Объект контрольного мероприятия:</w:t>
      </w:r>
      <w:r w:rsidRPr="00C80B3D">
        <w:rPr>
          <w:rFonts w:ascii="Times New Roman" w:hAnsi="Times New Roman" w:cs="Times New Roman"/>
          <w:sz w:val="28"/>
          <w:szCs w:val="28"/>
        </w:rPr>
        <w:t xml:space="preserve"> </w:t>
      </w:r>
      <w:r w:rsidRPr="00C80B3D"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«Городской центр досуга «Азов».</w:t>
      </w:r>
    </w:p>
    <w:p w:rsidR="00C80B3D" w:rsidRPr="00C80B3D" w:rsidRDefault="00C80B3D" w:rsidP="00C80B3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контрольного мероприятия Счетной палатой Полевского городского округа составлен акт от 30.06.2023 года № 17. </w:t>
      </w:r>
    </w:p>
    <w:p w:rsidR="00C80B3D" w:rsidRDefault="00C80B3D" w:rsidP="00C80B3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B3D">
        <w:rPr>
          <w:rFonts w:ascii="Times New Roman" w:hAnsi="Times New Roman" w:cs="Times New Roman"/>
          <w:color w:val="000000"/>
          <w:sz w:val="28"/>
          <w:szCs w:val="28"/>
        </w:rPr>
        <w:t>В срок, установленный п</w:t>
      </w:r>
      <w:r>
        <w:rPr>
          <w:rFonts w:ascii="Times New Roman" w:hAnsi="Times New Roman" w:cs="Times New Roman"/>
          <w:color w:val="000000"/>
          <w:sz w:val="28"/>
          <w:szCs w:val="28"/>
        </w:rPr>
        <w:t>унктом</w:t>
      </w:r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3 ст</w:t>
      </w:r>
      <w:r>
        <w:rPr>
          <w:rFonts w:ascii="Times New Roman" w:hAnsi="Times New Roman" w:cs="Times New Roman"/>
          <w:color w:val="000000"/>
          <w:sz w:val="28"/>
          <w:szCs w:val="28"/>
        </w:rPr>
        <w:t>атьи</w:t>
      </w:r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20 Закона Свердловской области от 12.07.2011 N 62-ОЗ «О Счетной палате Свердловской области и контрольно-счетных органах муниципальных образований, расположенных на территории Свердловской области» возражения к акту проверки не представлены. </w:t>
      </w:r>
    </w:p>
    <w:p w:rsidR="00C80B3D" w:rsidRPr="00C80B3D" w:rsidRDefault="00C80B3D" w:rsidP="00C80B3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Объем проверенных бюджетных средств составил </w:t>
      </w:r>
      <w:r w:rsidR="00FA4A7C">
        <w:rPr>
          <w:rFonts w:ascii="Times New Roman" w:hAnsi="Times New Roman" w:cs="Times New Roman"/>
          <w:color w:val="000000"/>
          <w:sz w:val="28"/>
          <w:szCs w:val="28"/>
        </w:rPr>
        <w:t>55 916 1</w:t>
      </w:r>
      <w:r w:rsidR="00723622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FA4A7C">
        <w:rPr>
          <w:rFonts w:ascii="Times New Roman" w:hAnsi="Times New Roman" w:cs="Times New Roman"/>
          <w:color w:val="000000"/>
          <w:sz w:val="28"/>
          <w:szCs w:val="28"/>
        </w:rPr>
        <w:t>,98</w:t>
      </w:r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рублей.</w:t>
      </w:r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1800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E11800">
        <w:rPr>
          <w:rFonts w:ascii="Times New Roman" w:hAnsi="Times New Roman" w:cs="Times New Roman"/>
          <w:color w:val="000000"/>
          <w:sz w:val="28"/>
          <w:szCs w:val="28"/>
        </w:rPr>
        <w:t>онтрольного мероприятия установлено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следующее</w:t>
      </w:r>
      <w:r w:rsidRPr="00E1180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1800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>В проверяемом периоде муниципальное бюджетное учреждение культуры «Городской центр досуга «Азов» в соответствии с действующим законодательством, Уставом учреждения и муниципальным заданием осуществляло деятельность, относящуюся к его основным видам деятельности, по показу кино-видео фильмов, организации деятельности клубных формирований, коллективов самодеятельного любительского художественного творчества, проведению культурно-массовых мероприятий, созданию условий для организации досуга и массового отдыха жителей г. Полевского.</w:t>
      </w:r>
      <w:proofErr w:type="gramEnd"/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2. По данным Отчета об исполнении муниципального задания за 2019 год учреждение выполнило муниципальное задание с достижением установленных муниципальным заданием показателей качества и объема. </w:t>
      </w:r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>За 2020 год МБУК «Городской центр досуга «Азов» не обеспечило достижение установленных муниципальным заданием показателей качества по средней заполняемости кинотеатра в 2, 3 и 4 кварталах, доли клубных формирований для детей и подростков от общего числа клубных формирований и показателей объема по числу зрителей и количеству мероприятий в связи с приостановлением (частичным приостановлением) деятельности учреждения, связанной с профилактикой и устранением</w:t>
      </w:r>
      <w:proofErr w:type="gramEnd"/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последствий распространения </w:t>
      </w:r>
      <w:proofErr w:type="spell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инфекции, поэтому согласно </w:t>
      </w:r>
      <w:hyperlink r:id="rId7" w:history="1">
        <w:r w:rsidRPr="00C80B3D">
          <w:rPr>
            <w:rFonts w:ascii="Times New Roman" w:hAnsi="Times New Roman" w:cs="Times New Roman"/>
            <w:color w:val="000000"/>
            <w:sz w:val="28"/>
            <w:szCs w:val="28"/>
          </w:rPr>
          <w:t>пункту 20 статьи 2.1</w:t>
        </w:r>
      </w:hyperlink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0B3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Федерального закона от 12.11.2019 N 367-ФЗ «О приостановлении действия отдельных положений Бюджетного кодекса Российской Федерации и установлении </w:t>
      </w:r>
      <w:proofErr w:type="gram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>особенностей исполнения бюджетов бюджетной системы Российской Федерации</w:t>
      </w:r>
      <w:proofErr w:type="gramEnd"/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в 2020 году» муниципальное задание, установленное на 2020 год, невыполненным не считается.</w:t>
      </w:r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>По данным Отчета об исполнении муниципального задания за 2021 год МБУК «Городской центр досуга «Азов» не обеспечило достижение установленных муниципальным заданием показателей качества по средней заполняемости кинотеатра во 2 и 3 кварталах, доле клубных формирований для детей и подростков от общего числа клубных формирований, количеству клубных формирований и показателей объема по числу зрителей, количеству мероприятий, количеству посещений.</w:t>
      </w:r>
      <w:proofErr w:type="gramEnd"/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Не выполнение показателей муниципального задания из-за обстоятельств непреодолимой силы, связанных с профилактикой и устранением последствий распространения </w:t>
      </w:r>
      <w:proofErr w:type="spell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инфекции, в соответствии с пунктом 1 статьи 10 Федерального закона от 29.11.2021 N 384-ФЗ «О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году» обоснованно в отношении</w:t>
      </w:r>
      <w:proofErr w:type="gramEnd"/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не выполнения показателей муниципальной услуги «Показ кинофильмов» и муниципальной работы «Организация и проведение культурно-массовых мероприятий». </w:t>
      </w:r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Не выполнение показателей муниципального задания в части муниципальной услуги «Организация деятельности клубных формирований и формирований самодеятельного творчества» не связано с приостановлением (ограничением) в 2021 году деятельности учреждения в связи с профилактикой и устранением последствий распространения </w:t>
      </w:r>
      <w:proofErr w:type="spell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инфекции.</w:t>
      </w:r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Следовательно, в нарушение </w:t>
      </w:r>
      <w:hyperlink r:id="rId8" w:history="1">
        <w:r w:rsidRPr="00C80B3D">
          <w:rPr>
            <w:rFonts w:ascii="Times New Roman" w:hAnsi="Times New Roman" w:cs="Times New Roman"/>
            <w:color w:val="000000"/>
            <w:sz w:val="28"/>
            <w:szCs w:val="28"/>
          </w:rPr>
          <w:t>статьи 69.2</w:t>
        </w:r>
      </w:hyperlink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кодекса Российской Федерации МБУК «Городской центр досуга «Азов» не выполнило муниципальное задание, установленное учредителем на 2021 год, не обеспечив достижение установленных муниципальным заданием показателей, характеризующих объем (количество посещений) и качество (количество клубных формирований, доля клубных формирований для детей и подростков от общего числа клубных формирований) муниципальной услуги «Организация деятельности клубных формирований и формирований самодеятельного</w:t>
      </w:r>
      <w:proofErr w:type="gramEnd"/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творчества» в пределах допустимого (возможного) отклонения.</w:t>
      </w:r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B3D">
        <w:rPr>
          <w:rFonts w:ascii="Times New Roman" w:hAnsi="Times New Roman" w:cs="Times New Roman"/>
          <w:color w:val="000000"/>
          <w:sz w:val="28"/>
          <w:szCs w:val="28"/>
        </w:rPr>
        <w:t>5. В ходе контрольного мероприятия не представлены документы, подтверждающие проведение опроса в целях выполнения показателя «Доля потребителей, удовлетворенных качеством услуги (от числа опрошенных)», установленного муниципальными заданиями.</w:t>
      </w:r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В подтверждение выполнения показателей муниципального задания учреждением не представлены Отчет о проведении учреждением культурно-досуговых мероприятий за 2020 год и Отчеты о работе творческих коллективов за 2019, 2020 и 2021 годы. </w:t>
      </w:r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B3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 Проверкой использования средств на оплату труда установлено, что в нарушение требований законодательства и муниципальных правовых актов: </w:t>
      </w:r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B3D">
        <w:rPr>
          <w:rFonts w:ascii="Times New Roman" w:hAnsi="Times New Roman" w:cs="Times New Roman"/>
          <w:color w:val="000000"/>
          <w:sz w:val="28"/>
          <w:szCs w:val="28"/>
        </w:rPr>
        <w:t>размеры окладов работников учреждения не установлены локальными нормативными актами руководителя учреждения;</w:t>
      </w:r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>Положение об оплате труда и материальном стимулировании работников МБУК «Городской центр досуга «Азов» не приведено в соответствие Примерному положению об оплате труда работников муниципальных бюджетных учреждений культуры, в отношении которых орган местного самоуправления Управление культурой Полевского городского округа осуществляет функции и полномочия учредителя, утвержденному постановлением Администрации Полевского городского округа от 30.12.2019 № 737-ПА.</w:t>
      </w:r>
      <w:proofErr w:type="gramEnd"/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>Так минимальные размеры окладов в Положении об оплате труда и материальном стимулировании работников муниципального бюджетного учреждения культуры ГЦД «Азов», не соответствовали размерам, установленным постановлением Администрации Полевского городского округа: до 30.12.2021 года были меньше минимальных размеров, установленных Постановлением Администрации Полевского городского округа, а с 30.12.2021 определены в размерах, значительно превышающих размеры минимальных окладов, установленных Постановлением Администрации Полевского городского округа;</w:t>
      </w:r>
      <w:proofErr w:type="gramEnd"/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>работникам учреждения установлена заработная плата в части размеров должностных окладов, не соответствующая системе оплаты труда, действующей в учреждении до 30.12.2021 года: размеры окладов работников учреждения, указанные в трудовых договорах и штатных расписаниях не основаны на минимальных размерах должностных окладов, установленных Положением об оплате труда учреждения и материальном стимулировании работников муниципального бюджетного учреждения культуры ГЦД «Азов» и превышали их.</w:t>
      </w:r>
      <w:proofErr w:type="gramEnd"/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proofErr w:type="gram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В нарушение пункта 12 Примерного положения об оплате труда работников муниципальных бюджетных учреждений культуры, в отношении которых орган местного самоуправления Управление культурой Полевского городского округа осуществляет функции и полномочия учредителя, утвержденного постановлением Администрации Полевского городского округа от 30.12.2019 № 737-ПА, штатные расписания учреждения сформированы сверх утвержденного на соответствующий год фонда оплаты труда.   </w:t>
      </w:r>
      <w:proofErr w:type="gramEnd"/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Штатные расписания учреждения утверждены приказами директора учреждения и согласованы начальником органа местного самоуправления Управление культурой Полевского городского округа со штатом в количестве 61 единицы (41 на постоянной основе и 20 сезонные). </w:t>
      </w:r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В проверяемом периоде из 41 штатной единицы по должностям основного и вспомогательного (административно-управленческого) персонала (без сезонных работников) фактически было вакантно около половины ставок, а штатные ставки сезонных работников (20 единиц) были не заняты полностью. </w:t>
      </w:r>
      <w:r w:rsidRPr="00C80B3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Среднегодовая численность работников учреждения составляла в 2019 году 17 человек, в 2020 году – 19,3 человек, в 2021 году – 20 человек.</w:t>
      </w:r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proofErr w:type="gram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В проверяемом периоде учреждением достигнут установленный целевой показатель размера заработной платы работников муниципальных учреждений культуры во исполнение </w:t>
      </w:r>
      <w:hyperlink r:id="rId9" w:history="1">
        <w:r w:rsidRPr="00C80B3D">
          <w:rPr>
            <w:rFonts w:ascii="Times New Roman" w:hAnsi="Times New Roman" w:cs="Times New Roman"/>
            <w:color w:val="000000"/>
            <w:sz w:val="28"/>
            <w:szCs w:val="28"/>
          </w:rPr>
          <w:t>Указа</w:t>
        </w:r>
      </w:hyperlink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Президента Российской Федерации от 07.05.2012 N 597 «О мероприятиях по реализации государственной социальной политики», которым установлен показатель оплаты труда работников учреждений культуры по уровню средней заработной платы не ниже средней заработной платы в соответствующем регионе.</w:t>
      </w:r>
      <w:proofErr w:type="gramEnd"/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>Согласно статистической формы № ЗП-культура средняя заработная плата работников МБУК «Городской центр досуга «Азов» (без внешних совместителей) за 2019 год достигла 38,1 тыс. руб., за 2020 год – 37,5 тыс. руб., за 2021 год – 41,7 тыс. руб., что составило соответственно 107,1%, 100,4 %, 105,3 % прогнозного значения среднемесячного дохода от трудовой деятельности по Свердловской области, установленного Постановлением Правительства Свердловской области от 13.09.2018 N 597-ПП</w:t>
      </w:r>
      <w:proofErr w:type="gramEnd"/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методик, применяемых для расчета межбюджетных трансфертов из областного бюджета местным бюджетам, на 2019 год и плановый период 2020 и 2021 годов». </w:t>
      </w:r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proofErr w:type="gram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В нарушение </w:t>
      </w:r>
      <w:hyperlink r:id="rId10" w:history="1">
        <w:r w:rsidRPr="00C80B3D">
          <w:rPr>
            <w:rFonts w:ascii="Times New Roman" w:hAnsi="Times New Roman" w:cs="Times New Roman"/>
            <w:color w:val="000000"/>
            <w:sz w:val="28"/>
            <w:szCs w:val="28"/>
          </w:rPr>
          <w:t>статьи 11</w:t>
        </w:r>
      </w:hyperlink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06.12.2011 N 402-ФЗ «О бухгалтерском учете», пункта </w:t>
      </w:r>
      <w:hyperlink r:id="rId11" w:history="1">
        <w:r w:rsidRPr="00C80B3D">
          <w:rPr>
            <w:rFonts w:ascii="Times New Roman" w:hAnsi="Times New Roman" w:cs="Times New Roman"/>
            <w:color w:val="000000"/>
            <w:sz w:val="28"/>
            <w:szCs w:val="28"/>
          </w:rPr>
          <w:t>9</w:t>
        </w:r>
      </w:hyperlink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учреждений, утвержденной приказом Минфина России от 25.03.2011 № 33н, МБУК «Городской центр досуга «Азов» перед составлением годовой </w:t>
      </w:r>
      <w:r w:rsidR="00FA4A7C">
        <w:rPr>
          <w:rFonts w:ascii="Times New Roman" w:hAnsi="Times New Roman" w:cs="Times New Roman"/>
          <w:color w:val="000000"/>
          <w:sz w:val="28"/>
          <w:szCs w:val="28"/>
        </w:rPr>
        <w:t>финансовой</w:t>
      </w:r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отчетности за 2021 год не проведена в полном объеме инвентаризация обязательств: акт сверки расчетов</w:t>
      </w:r>
      <w:proofErr w:type="gramEnd"/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с ООО «ТБО «</w:t>
      </w:r>
      <w:proofErr w:type="spell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>Экосервис</w:t>
      </w:r>
      <w:proofErr w:type="spellEnd"/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» не </w:t>
      </w:r>
      <w:proofErr w:type="gram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>представлен</w:t>
      </w:r>
      <w:proofErr w:type="gramEnd"/>
      <w:r w:rsidRPr="00C80B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>В нарушение пунктов 1.4, 3.44 и 3.48 Методических указаний по инвентаризации имущества и финансовых обязательств, утвержденных Приказом Минфина РФ от 13.06.1995 N 49, при инвентаризации расчетов за 2020 и 2021 годы инвентаризационной комиссией не проведена проверка полноты отражения в учете обязательств, проверка правильности и обоснованности отражения в учете задолженности с учетом актов сверок взаимных расчетов, которыми учреждением подтверждена правильность и</w:t>
      </w:r>
      <w:proofErr w:type="gramEnd"/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 обоснованность сумм задолженности. Согласно актам сверок взаимных расчетов кредиторская задолженность учреждения перед АО «</w:t>
      </w:r>
      <w:proofErr w:type="spell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>Свердловэнергосбыт</w:t>
      </w:r>
      <w:proofErr w:type="spellEnd"/>
      <w:r w:rsidRPr="00C80B3D">
        <w:rPr>
          <w:rFonts w:ascii="Times New Roman" w:hAnsi="Times New Roman" w:cs="Times New Roman"/>
          <w:color w:val="000000"/>
          <w:sz w:val="28"/>
          <w:szCs w:val="28"/>
        </w:rPr>
        <w:t>» по окончании 2020 года составила 21 691,67 руб., по окончании 2021 года составила 6 780,95 руб., что не отражено в Сведениях о кредиторской задолженности (ф. 0503769), согласно которым кредиторская задолженность у учреждения отсутствует.</w:t>
      </w:r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B3D">
        <w:rPr>
          <w:rFonts w:ascii="Times New Roman" w:hAnsi="Times New Roman" w:cs="Times New Roman"/>
          <w:color w:val="000000"/>
          <w:sz w:val="28"/>
          <w:szCs w:val="28"/>
        </w:rPr>
        <w:t xml:space="preserve">10.  </w:t>
      </w:r>
      <w:r w:rsidR="005B4728" w:rsidRPr="005B4728">
        <w:rPr>
          <w:rFonts w:ascii="Times New Roman" w:hAnsi="Times New Roman" w:cs="Times New Roman"/>
          <w:color w:val="000000"/>
          <w:sz w:val="28"/>
          <w:szCs w:val="28"/>
        </w:rPr>
        <w:t>Проверкой установлены признаки неэффективного расходования средств бюджета, полученных учреждением в виде субсидий на иные цели, при осуществлении закупок, на общую сумму 1 505 635,88 рублей</w:t>
      </w:r>
      <w:r w:rsidRPr="00C80B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80B3D" w:rsidRPr="00C80B3D" w:rsidRDefault="00C80B3D" w:rsidP="00C80B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B3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11. </w:t>
      </w:r>
      <w:proofErr w:type="gramStart"/>
      <w:r w:rsidRPr="00C80B3D">
        <w:rPr>
          <w:rFonts w:ascii="Times New Roman" w:hAnsi="Times New Roman" w:cs="Times New Roman"/>
          <w:color w:val="000000"/>
          <w:sz w:val="28"/>
          <w:szCs w:val="28"/>
        </w:rPr>
        <w:t>В ходе проверки установлено нарушение пункта 10.2.5 Порядка применения классификации операций сектора государственного управления, утвержденного приказом Минфина России от 29.11.2017 N 209н,  в части отнесения расходов по ремонту и замене столбов наружного освещения, на которые у учреждения отсутствовали права аренды, безвозмездного пользования или оперативного управления, на подстатью 225 «Работы, услуги по содержанию имущества» классификатора операцией сектора государственного управления.</w:t>
      </w:r>
      <w:proofErr w:type="gramEnd"/>
    </w:p>
    <w:p w:rsidR="00C80B3D" w:rsidRPr="00C51E8D" w:rsidRDefault="00C80B3D" w:rsidP="00C80B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E8D">
        <w:rPr>
          <w:rFonts w:ascii="Times New Roman" w:hAnsi="Times New Roman" w:cs="Times New Roman"/>
          <w:sz w:val="28"/>
          <w:szCs w:val="28"/>
        </w:rPr>
        <w:t xml:space="preserve">Отчет по результатам контрольного мероприятия утвержден распоряжением председателя Счетной палаты Полевского городского округа от </w:t>
      </w:r>
      <w:r w:rsidR="00C51E8D" w:rsidRPr="00C51E8D">
        <w:rPr>
          <w:rFonts w:ascii="Times New Roman" w:hAnsi="Times New Roman" w:cs="Times New Roman"/>
          <w:sz w:val="28"/>
          <w:szCs w:val="28"/>
        </w:rPr>
        <w:t>31.07</w:t>
      </w:r>
      <w:r w:rsidRPr="00C51E8D">
        <w:rPr>
          <w:rFonts w:ascii="Times New Roman" w:hAnsi="Times New Roman" w:cs="Times New Roman"/>
          <w:sz w:val="28"/>
          <w:szCs w:val="28"/>
        </w:rPr>
        <w:t xml:space="preserve">.2023 года № </w:t>
      </w:r>
      <w:r w:rsidR="00C51E8D" w:rsidRPr="00C51E8D">
        <w:rPr>
          <w:rFonts w:ascii="Times New Roman" w:hAnsi="Times New Roman" w:cs="Times New Roman"/>
          <w:sz w:val="28"/>
          <w:szCs w:val="28"/>
        </w:rPr>
        <w:t>35</w:t>
      </w:r>
      <w:r w:rsidRPr="00C51E8D">
        <w:rPr>
          <w:rFonts w:ascii="Times New Roman" w:hAnsi="Times New Roman" w:cs="Times New Roman"/>
          <w:sz w:val="28"/>
          <w:szCs w:val="28"/>
        </w:rPr>
        <w:t>.</w:t>
      </w:r>
    </w:p>
    <w:p w:rsidR="00C80B3D" w:rsidRPr="00EE469F" w:rsidRDefault="00C80B3D" w:rsidP="00C80B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69F">
        <w:rPr>
          <w:rFonts w:ascii="Times New Roman" w:hAnsi="Times New Roman" w:cs="Times New Roman"/>
          <w:sz w:val="28"/>
          <w:szCs w:val="28"/>
        </w:rPr>
        <w:t>По установленным фактам директору муниципальн</w:t>
      </w:r>
      <w:r w:rsidR="00C51E8D" w:rsidRPr="00EE469F">
        <w:rPr>
          <w:rFonts w:ascii="Times New Roman" w:hAnsi="Times New Roman" w:cs="Times New Roman"/>
          <w:sz w:val="28"/>
          <w:szCs w:val="28"/>
        </w:rPr>
        <w:t>ого</w:t>
      </w:r>
      <w:r w:rsidRPr="00EE469F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C51E8D" w:rsidRPr="00EE469F">
        <w:rPr>
          <w:rFonts w:ascii="Times New Roman" w:hAnsi="Times New Roman" w:cs="Times New Roman"/>
          <w:sz w:val="28"/>
          <w:szCs w:val="28"/>
        </w:rPr>
        <w:t>ого</w:t>
      </w:r>
      <w:r w:rsidRPr="00EE469F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C51E8D" w:rsidRPr="00EE469F">
        <w:rPr>
          <w:rFonts w:ascii="Times New Roman" w:hAnsi="Times New Roman" w:cs="Times New Roman"/>
          <w:sz w:val="28"/>
          <w:szCs w:val="28"/>
        </w:rPr>
        <w:t>я культуры</w:t>
      </w:r>
      <w:r w:rsidRPr="00EE469F">
        <w:rPr>
          <w:rFonts w:ascii="Times New Roman" w:hAnsi="Times New Roman" w:cs="Times New Roman"/>
          <w:sz w:val="28"/>
          <w:szCs w:val="28"/>
        </w:rPr>
        <w:t xml:space="preserve"> </w:t>
      </w:r>
      <w:r w:rsidR="00C51E8D" w:rsidRPr="00EE469F">
        <w:rPr>
          <w:rFonts w:ascii="Times New Roman" w:hAnsi="Times New Roman" w:cs="Times New Roman"/>
          <w:sz w:val="28"/>
          <w:szCs w:val="28"/>
        </w:rPr>
        <w:t xml:space="preserve">«Городской центр досуга «Азов» </w:t>
      </w:r>
      <w:r w:rsidRPr="00EE469F">
        <w:rPr>
          <w:rFonts w:ascii="Times New Roman" w:hAnsi="Times New Roman" w:cs="Times New Roman"/>
          <w:sz w:val="28"/>
          <w:szCs w:val="28"/>
        </w:rPr>
        <w:t>направлен</w:t>
      </w:r>
      <w:r w:rsidR="008775D8">
        <w:rPr>
          <w:rFonts w:ascii="Times New Roman" w:hAnsi="Times New Roman" w:cs="Times New Roman"/>
          <w:sz w:val="28"/>
          <w:szCs w:val="28"/>
        </w:rPr>
        <w:t>о</w:t>
      </w:r>
      <w:r w:rsidRPr="00EE469F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8775D8">
        <w:rPr>
          <w:rFonts w:ascii="Times New Roman" w:hAnsi="Times New Roman" w:cs="Times New Roman"/>
          <w:sz w:val="28"/>
          <w:szCs w:val="28"/>
        </w:rPr>
        <w:t>е</w:t>
      </w:r>
      <w:r w:rsidRPr="00EE469F">
        <w:rPr>
          <w:rFonts w:ascii="Times New Roman" w:hAnsi="Times New Roman" w:cs="Times New Roman"/>
          <w:sz w:val="28"/>
          <w:szCs w:val="28"/>
        </w:rPr>
        <w:t xml:space="preserve"> Счетной палатой Полевского городского округа для принятия мер по </w:t>
      </w:r>
      <w:r w:rsidR="00C51E8D" w:rsidRPr="00EE469F">
        <w:rPr>
          <w:rFonts w:ascii="Times New Roman" w:hAnsi="Times New Roman" w:cs="Times New Roman"/>
          <w:sz w:val="28"/>
          <w:szCs w:val="28"/>
        </w:rPr>
        <w:t>устранению и предупреждению выявленных нарушений и недостатков</w:t>
      </w:r>
      <w:r w:rsidRPr="00EE46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775D8">
        <w:rPr>
          <w:rFonts w:ascii="Times New Roman" w:hAnsi="Times New Roman" w:cs="Times New Roman"/>
          <w:sz w:val="28"/>
          <w:szCs w:val="28"/>
        </w:rPr>
        <w:t xml:space="preserve"> Н</w:t>
      </w:r>
      <w:r w:rsidR="008775D8" w:rsidRPr="00EE469F">
        <w:rPr>
          <w:rFonts w:ascii="Times New Roman" w:hAnsi="Times New Roman" w:cs="Times New Roman"/>
          <w:sz w:val="28"/>
          <w:szCs w:val="28"/>
        </w:rPr>
        <w:t xml:space="preserve">ачальнику органа местного самоуправления Управление культурой Полевского городского округа </w:t>
      </w:r>
      <w:r w:rsidR="008775D8">
        <w:rPr>
          <w:rFonts w:ascii="Times New Roman" w:hAnsi="Times New Roman" w:cs="Times New Roman"/>
          <w:sz w:val="28"/>
          <w:szCs w:val="28"/>
        </w:rPr>
        <w:t>направлено информационное письмо.</w:t>
      </w:r>
    </w:p>
    <w:p w:rsidR="00FA4A7C" w:rsidRPr="00EE469F" w:rsidRDefault="00FA4A7C" w:rsidP="00C80B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469F">
        <w:rPr>
          <w:rFonts w:ascii="Times New Roman" w:hAnsi="Times New Roman" w:cs="Times New Roman"/>
          <w:sz w:val="28"/>
          <w:szCs w:val="28"/>
        </w:rPr>
        <w:t>Отчет по результатам контрольного мероприятия направлен в Прокуратуру города Полевского.</w:t>
      </w:r>
    </w:p>
    <w:p w:rsidR="00C80B3D" w:rsidRDefault="00C80B3D" w:rsidP="00C80B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382A3F" w:rsidRPr="00382A3F" w:rsidRDefault="00382A3F" w:rsidP="00C80B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highlight w:val="yellow"/>
        </w:rPr>
      </w:pPr>
    </w:p>
    <w:p w:rsidR="005B4728" w:rsidRDefault="005B4728" w:rsidP="00C80B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0B3D" w:rsidRPr="00F35BDB" w:rsidRDefault="00C80B3D" w:rsidP="00C80B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Председатель</w:t>
      </w:r>
      <w:r w:rsidRPr="00F35BDB">
        <w:rPr>
          <w:rFonts w:ascii="Times New Roman" w:hAnsi="Times New Roman" w:cs="Times New Roman"/>
          <w:color w:val="000000"/>
          <w:sz w:val="28"/>
          <w:szCs w:val="28"/>
        </w:rPr>
        <w:t xml:space="preserve"> Счетной палаты</w:t>
      </w:r>
    </w:p>
    <w:p w:rsidR="00E06D5C" w:rsidRDefault="00C80B3D" w:rsidP="00494D30">
      <w:pPr>
        <w:shd w:val="clear" w:color="auto" w:fill="FFFFFF"/>
        <w:spacing w:after="0" w:line="240" w:lineRule="auto"/>
        <w:jc w:val="both"/>
      </w:pPr>
      <w:r w:rsidRPr="00F35BDB">
        <w:rPr>
          <w:rFonts w:ascii="Times New Roman" w:hAnsi="Times New Roman" w:cs="Times New Roman"/>
          <w:color w:val="000000"/>
          <w:sz w:val="28"/>
          <w:szCs w:val="28"/>
        </w:rPr>
        <w:t>Полевского городского округа</w:t>
      </w:r>
      <w:r w:rsidRPr="0011261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Зюзева</w:t>
      </w:r>
      <w:proofErr w:type="spellEnd"/>
    </w:p>
    <w:sectPr w:rsidR="00E06D5C" w:rsidSect="008775D8">
      <w:headerReference w:type="default" r:id="rId12"/>
      <w:pgSz w:w="11906" w:h="16838"/>
      <w:pgMar w:top="709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85E" w:rsidRDefault="0001185E">
      <w:pPr>
        <w:spacing w:after="0" w:line="240" w:lineRule="auto"/>
      </w:pPr>
      <w:r>
        <w:separator/>
      </w:r>
    </w:p>
  </w:endnote>
  <w:endnote w:type="continuationSeparator" w:id="0">
    <w:p w:rsidR="0001185E" w:rsidRDefault="00011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85E" w:rsidRDefault="0001185E">
      <w:pPr>
        <w:spacing w:after="0" w:line="240" w:lineRule="auto"/>
      </w:pPr>
      <w:r>
        <w:separator/>
      </w:r>
    </w:p>
  </w:footnote>
  <w:footnote w:type="continuationSeparator" w:id="0">
    <w:p w:rsidR="0001185E" w:rsidRDefault="00011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593989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F02058" w:rsidRPr="00783247" w:rsidRDefault="00F02058">
        <w:pPr>
          <w:pStyle w:val="a3"/>
          <w:jc w:val="center"/>
          <w:rPr>
            <w:sz w:val="20"/>
          </w:rPr>
        </w:pPr>
        <w:r w:rsidRPr="00783247">
          <w:rPr>
            <w:sz w:val="20"/>
          </w:rPr>
          <w:fldChar w:fldCharType="begin"/>
        </w:r>
        <w:r w:rsidRPr="00783247">
          <w:rPr>
            <w:sz w:val="20"/>
          </w:rPr>
          <w:instrText>PAGE   \* MERGEFORMAT</w:instrText>
        </w:r>
        <w:r w:rsidRPr="00783247">
          <w:rPr>
            <w:sz w:val="20"/>
          </w:rPr>
          <w:fldChar w:fldCharType="separate"/>
        </w:r>
        <w:r w:rsidR="00A30FCF">
          <w:rPr>
            <w:noProof/>
            <w:sz w:val="20"/>
          </w:rPr>
          <w:t>5</w:t>
        </w:r>
        <w:r w:rsidRPr="00783247">
          <w:rPr>
            <w:sz w:val="20"/>
          </w:rPr>
          <w:fldChar w:fldCharType="end"/>
        </w:r>
      </w:p>
    </w:sdtContent>
  </w:sdt>
  <w:p w:rsidR="00F02058" w:rsidRDefault="00F020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B3D"/>
    <w:rsid w:val="0001185E"/>
    <w:rsid w:val="00012CAD"/>
    <w:rsid w:val="002A607C"/>
    <w:rsid w:val="00382A3F"/>
    <w:rsid w:val="00391742"/>
    <w:rsid w:val="00494D30"/>
    <w:rsid w:val="005B4728"/>
    <w:rsid w:val="006C3E99"/>
    <w:rsid w:val="00723622"/>
    <w:rsid w:val="008775D8"/>
    <w:rsid w:val="008A2CD6"/>
    <w:rsid w:val="00A30FCF"/>
    <w:rsid w:val="00C51E8D"/>
    <w:rsid w:val="00C80B3D"/>
    <w:rsid w:val="00E06D5C"/>
    <w:rsid w:val="00EE469F"/>
    <w:rsid w:val="00F02058"/>
    <w:rsid w:val="00FA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B3D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C80B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0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FC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B3D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C80B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0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FC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E39EED6136E01707D1DDB7481B3E08FCE8D532844968DE7DE4DCB0B54BD7662E8561626F6D0FE085AD3F6C3675CE7777A43AF27C94n6o3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9D1C5F69304C9F003069A424BC86556BAAABC488F63F325D74411CF3B9DA5A03C8DD6837816EE7CAA7B5B18133012A264E3D625A48DB171aEXEN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57604C46D9E6573E85D731480376047530484BDDA27B2B3C798B29139BFF5559D2F58AE0F1C13BAE5F9E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2C16ED9078CF2C8A01F2069574F14FFE43F6E5B1F247B0304928694CAE8546076E28AF366F0A810NCC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02B7C9370D41F1047ABDC7BD8C3E55987A85EE489A79615827F3847C2E277FAC2C4C066A05D90879A0093AD5F09B5633036A2363CED6E61qEZ1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5</Pages>
  <Words>1979</Words>
  <Characters>11282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User</cp:lastModifiedBy>
  <cp:revision>9</cp:revision>
  <cp:lastPrinted>2023-08-07T09:32:00Z</cp:lastPrinted>
  <dcterms:created xsi:type="dcterms:W3CDTF">2023-08-02T05:57:00Z</dcterms:created>
  <dcterms:modified xsi:type="dcterms:W3CDTF">2023-08-07T09:59:00Z</dcterms:modified>
</cp:coreProperties>
</file>