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EF3" w:rsidRPr="000A5EF3" w:rsidRDefault="000A5EF3" w:rsidP="000A5EF3">
      <w:pPr>
        <w:spacing w:before="75" w:after="75" w:line="432" w:lineRule="atLeast"/>
        <w:ind w:left="150" w:right="150"/>
        <w:outlineLvl w:val="1"/>
        <w:rPr>
          <w:rFonts w:ascii="Verdana" w:eastAsia="Times New Roman" w:hAnsi="Verdana" w:cs="Times New Roman"/>
          <w:color w:val="1E6E53"/>
          <w:sz w:val="36"/>
          <w:szCs w:val="36"/>
          <w:lang w:eastAsia="ru-RU"/>
        </w:rPr>
      </w:pPr>
      <w:r w:rsidRPr="000A5EF3">
        <w:rPr>
          <w:rFonts w:ascii="Verdana" w:eastAsia="Times New Roman" w:hAnsi="Verdana" w:cs="Times New Roman"/>
          <w:color w:val="1E6E53"/>
          <w:sz w:val="36"/>
          <w:szCs w:val="36"/>
          <w:lang w:eastAsia="ru-RU"/>
        </w:rPr>
        <w:t>Отчет по результатам внешней проверки годовой бюджетной отчетности главных администраторов бюджетных средств Полевского городского округа за 2019 год.</w:t>
      </w:r>
    </w:p>
    <w:p w:rsidR="000A5EF3" w:rsidRPr="000A5EF3" w:rsidRDefault="000A5EF3" w:rsidP="000A5EF3">
      <w:pPr>
        <w:shd w:val="clear" w:color="auto" w:fill="FFFFFF"/>
        <w:spacing w:before="195" w:after="0" w:line="240" w:lineRule="auto"/>
        <w:jc w:val="center"/>
        <w:rPr>
          <w:rFonts w:ascii="Tahoma" w:eastAsia="Times New Roman" w:hAnsi="Tahoma" w:cs="Tahoma"/>
          <w:color w:val="000000"/>
          <w:sz w:val="21"/>
          <w:szCs w:val="21"/>
          <w:lang w:eastAsia="ru-RU"/>
        </w:rPr>
      </w:pPr>
      <w:r w:rsidRPr="000A5EF3">
        <w:rPr>
          <w:rFonts w:ascii="Times New Roman" w:eastAsia="Times New Roman" w:hAnsi="Times New Roman" w:cs="Times New Roman"/>
          <w:color w:val="000000"/>
          <w:sz w:val="28"/>
          <w:szCs w:val="28"/>
          <w:lang w:eastAsia="ru-RU"/>
        </w:rPr>
        <w:t>СЧЕТНАЯ ПАЛАТА ПОЛЕВСКОГО ГОРОДСКОГО ОКРУГА</w:t>
      </w:r>
    </w:p>
    <w:p w:rsidR="000A5EF3" w:rsidRPr="000A5EF3" w:rsidRDefault="000A5EF3" w:rsidP="000A5EF3">
      <w:pPr>
        <w:shd w:val="clear" w:color="auto" w:fill="FFFFFF"/>
        <w:spacing w:before="195" w:after="0" w:line="240" w:lineRule="auto"/>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color w:val="000000"/>
          <w:sz w:val="20"/>
          <w:szCs w:val="20"/>
          <w:lang w:eastAsia="ru-RU"/>
        </w:rPr>
        <w:t>________________________________________________________________________________________________</w:t>
      </w:r>
    </w:p>
    <w:p w:rsidR="000A5EF3" w:rsidRPr="000A5EF3" w:rsidRDefault="000A5EF3" w:rsidP="000A5EF3">
      <w:pPr>
        <w:shd w:val="clear" w:color="auto" w:fill="FFFFFF"/>
        <w:spacing w:before="195" w:after="0" w:line="240" w:lineRule="auto"/>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color w:val="000000"/>
          <w:sz w:val="27"/>
          <w:szCs w:val="27"/>
          <w:lang w:eastAsia="ru-RU"/>
        </w:rPr>
        <w:t>20 апреля 2020 года                                                                                                  № 2</w:t>
      </w:r>
    </w:p>
    <w:p w:rsidR="000A5EF3" w:rsidRPr="000A5EF3" w:rsidRDefault="000A5EF3" w:rsidP="000A5EF3">
      <w:pPr>
        <w:spacing w:before="195" w:after="0" w:line="368" w:lineRule="atLeast"/>
        <w:jc w:val="center"/>
        <w:rPr>
          <w:rFonts w:ascii="Tahoma" w:eastAsia="Times New Roman" w:hAnsi="Tahoma" w:cs="Tahoma"/>
          <w:color w:val="000000"/>
          <w:sz w:val="21"/>
          <w:szCs w:val="21"/>
          <w:lang w:eastAsia="ru-RU"/>
        </w:rPr>
      </w:pPr>
      <w:r w:rsidRPr="000A5EF3">
        <w:rPr>
          <w:rFonts w:ascii="Tahoma" w:eastAsia="Times New Roman" w:hAnsi="Tahoma" w:cs="Tahoma"/>
          <w:b/>
          <w:bCs/>
          <w:color w:val="000000"/>
          <w:sz w:val="28"/>
          <w:szCs w:val="28"/>
          <w:lang w:eastAsia="ru-RU"/>
        </w:rPr>
        <w:t>Отчет</w:t>
      </w:r>
    </w:p>
    <w:p w:rsidR="000A5EF3" w:rsidRPr="000A5EF3" w:rsidRDefault="000A5EF3" w:rsidP="000A5EF3">
      <w:pPr>
        <w:spacing w:before="195" w:after="0" w:line="368" w:lineRule="atLeast"/>
        <w:jc w:val="center"/>
        <w:rPr>
          <w:rFonts w:ascii="Tahoma" w:eastAsia="Times New Roman" w:hAnsi="Tahoma" w:cs="Tahoma"/>
          <w:color w:val="000000"/>
          <w:sz w:val="21"/>
          <w:szCs w:val="21"/>
          <w:lang w:eastAsia="ru-RU"/>
        </w:rPr>
      </w:pPr>
      <w:r w:rsidRPr="000A5EF3">
        <w:rPr>
          <w:rFonts w:ascii="Tahoma" w:eastAsia="Times New Roman" w:hAnsi="Tahoma" w:cs="Tahoma"/>
          <w:b/>
          <w:bCs/>
          <w:color w:val="000000"/>
          <w:sz w:val="28"/>
          <w:szCs w:val="28"/>
          <w:lang w:eastAsia="ru-RU"/>
        </w:rPr>
        <w:t>по результатам внешней проверки годовой бюджетной отчетности главных администраторов бюджетных средств Полевского городского округа за 2019 год</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1. Основание проверки: </w:t>
      </w:r>
      <w:r w:rsidRPr="000A5EF3">
        <w:rPr>
          <w:rFonts w:ascii="Times New Roman" w:eastAsia="Times New Roman" w:hAnsi="Times New Roman" w:cs="Times New Roman"/>
          <w:color w:val="000000"/>
          <w:sz w:val="28"/>
          <w:szCs w:val="28"/>
          <w:lang w:eastAsia="ru-RU"/>
        </w:rPr>
        <w:t>пункт 1.3 раздела 1 плана работы Счетной палаты Полевского городского округа на 2020 год, утвержденного распоряжением Счетной палаты Полевского городского округа от 25.12.2019 № 69, распоряжение Счетной палаты Полевского городского округа от 10.03.2020 № 18.</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2. Предмет контрольного мероприятия:</w:t>
      </w:r>
      <w:r w:rsidRPr="000A5EF3">
        <w:rPr>
          <w:rFonts w:ascii="Times New Roman" w:eastAsia="Times New Roman" w:hAnsi="Times New Roman" w:cs="Times New Roman"/>
          <w:color w:val="000000"/>
          <w:sz w:val="28"/>
          <w:szCs w:val="28"/>
          <w:lang w:eastAsia="ru-RU"/>
        </w:rPr>
        <w:t> годовая бюджетная отчетность главных администраторов бюджетных средств.</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3. Объекты контрольного мероприятия: </w:t>
      </w:r>
      <w:r w:rsidRPr="000A5EF3">
        <w:rPr>
          <w:rFonts w:ascii="Times New Roman" w:eastAsia="Times New Roman" w:hAnsi="Times New Roman" w:cs="Times New Roman"/>
          <w:color w:val="000000"/>
          <w:sz w:val="28"/>
          <w:szCs w:val="28"/>
          <w:lang w:eastAsia="ru-RU"/>
        </w:rPr>
        <w:t>Финансовое управление Администрации Полевского городского округа, органы местного самоуправления Администрация Полевского городского округа, Управление муниципальным имуществом Полевского городского округа, Дума Полевского городского округа, Управление культурой Полевского городского округа, Управление образованием Полевского городского округа, Счетная палата Полевского городского округа.</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4. Цели контрольного мероприятия:</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i/>
          <w:iCs/>
          <w:color w:val="000000"/>
          <w:sz w:val="28"/>
          <w:szCs w:val="28"/>
          <w:lang w:eastAsia="ru-RU"/>
        </w:rPr>
        <w:t>Цель 1.</w:t>
      </w:r>
      <w:r w:rsidRPr="000A5EF3">
        <w:rPr>
          <w:rFonts w:ascii="Times New Roman" w:eastAsia="Times New Roman" w:hAnsi="Times New Roman" w:cs="Times New Roman"/>
          <w:color w:val="000000"/>
          <w:sz w:val="28"/>
          <w:szCs w:val="28"/>
          <w:lang w:eastAsia="ru-RU"/>
        </w:rPr>
        <w:t> Определение полноты годовой бюджетной отчетности главных администраторов бюджетных средств Полевского городского округа за 2019 год.</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i/>
          <w:iCs/>
          <w:color w:val="000000"/>
          <w:sz w:val="28"/>
          <w:szCs w:val="28"/>
          <w:lang w:eastAsia="ru-RU"/>
        </w:rPr>
        <w:t>Цель 2.</w:t>
      </w:r>
      <w:r w:rsidRPr="000A5EF3">
        <w:rPr>
          <w:rFonts w:ascii="Times New Roman" w:eastAsia="Times New Roman" w:hAnsi="Times New Roman" w:cs="Times New Roman"/>
          <w:color w:val="000000"/>
          <w:sz w:val="28"/>
          <w:szCs w:val="28"/>
          <w:lang w:eastAsia="ru-RU"/>
        </w:rPr>
        <w:t> Определение достоверности годовой бюджетной отчетности главных администраторов бюджетных средств Полевского городского округа за 2019 год.</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5. Проверяемый период деятельности:</w:t>
      </w:r>
      <w:r w:rsidRPr="000A5EF3">
        <w:rPr>
          <w:rFonts w:ascii="Times New Roman" w:eastAsia="Times New Roman" w:hAnsi="Times New Roman" w:cs="Times New Roman"/>
          <w:color w:val="000000"/>
          <w:sz w:val="28"/>
          <w:szCs w:val="28"/>
          <w:lang w:eastAsia="ru-RU"/>
        </w:rPr>
        <w:t> 2019 год.</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lastRenderedPageBreak/>
        <w:t>6. Срок проверки:</w:t>
      </w:r>
      <w:r w:rsidRPr="000A5EF3">
        <w:rPr>
          <w:rFonts w:ascii="Times New Roman" w:eastAsia="Times New Roman" w:hAnsi="Times New Roman" w:cs="Times New Roman"/>
          <w:color w:val="000000"/>
          <w:sz w:val="28"/>
          <w:szCs w:val="28"/>
          <w:lang w:eastAsia="ru-RU"/>
        </w:rPr>
        <w:t>с 17 марта 2020 года по 21 апреля 2020 года.</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7. Состав рабочей группы: </w:t>
      </w:r>
      <w:r w:rsidRPr="000A5EF3">
        <w:rPr>
          <w:rFonts w:ascii="Times New Roman" w:eastAsia="Times New Roman" w:hAnsi="Times New Roman" w:cs="Times New Roman"/>
          <w:color w:val="000000"/>
          <w:sz w:val="28"/>
          <w:szCs w:val="28"/>
          <w:lang w:eastAsia="ru-RU"/>
        </w:rPr>
        <w:t>инспекторы Счетной палаты Полевского городского округа Фарнина Т.Е., Кудрявцева В.Е.</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b/>
          <w:bCs/>
          <w:color w:val="000000"/>
          <w:sz w:val="28"/>
          <w:szCs w:val="28"/>
          <w:lang w:eastAsia="ru-RU"/>
        </w:rPr>
        <w:t>8. Результаты контрольного мероприятия:</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ходе внешней проверки в соответствии со статьей 268.1 Бюджетного кодекса РФ Счетной палатой рассматривались вопросы о 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 годового отчета об исполнении местного бюджета.</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Внешняя проверка бюджетной отчетности главных администраторов бюджетных средств проведена камерально (без выхода на объекты проверки). 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главных администраторов бюджетных средств – органов местного самоуправления Полевского городского округа.</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соответствии со статьей 264.2 Бюджетного кодекса РФ Финансовым управлением Администрации Полевского городского округа приказом от 02.12.2019 № 72 установлены сроки предоставления отчетности за 2019 год — в период с 23.01.2020 по 05.02.2020 года.</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xml:space="preserve">Бюджетная отчетность главных администраторов бюджетных средств в соответствии с пунктом 10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приказа Министерства финансов </w:t>
      </w:r>
      <w:r w:rsidRPr="000A5EF3">
        <w:rPr>
          <w:rFonts w:ascii="Tahoma" w:eastAsia="Times New Roman" w:hAnsi="Tahoma" w:cs="Tahoma"/>
          <w:color w:val="000000"/>
          <w:sz w:val="28"/>
          <w:szCs w:val="28"/>
          <w:lang w:eastAsia="ru-RU"/>
        </w:rPr>
        <w:lastRenderedPageBreak/>
        <w:t>РФ от 28.12.2010 № 191н (далее – Инструкция № 191н), камерально проверена Финансовым управлением Администрации Полевского городского округа, о чем сделаны соответствующие отметки в листах согласования.</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Нарушения требований Инструкции № 191н и порядка, определенного Финансовым управлением Администрации Полевского городского округа, установленные Финансовым управлением Администрации Полевского округа в бюджетной отчетности главных администраторов бюджетных средств, устранены субъектами бюджетной отчетности в ходе камеральной проверки.</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Нарушений установленного срока представления бюджетной отчетности в Финансовое управление Администрации Полевского городского округа органами местного самоуправления не допущено.</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color w:val="000000"/>
          <w:sz w:val="28"/>
          <w:szCs w:val="28"/>
          <w:lang w:eastAsia="ru-RU"/>
        </w:rPr>
        <w:t>В Счетную палату Полевского городского округа для внешней проверки бюджетная отчетность представлена главными распорядителями бюджетных средств в срок, установленный Порядком проведения внешней проверки годового отчета об исполнении бюджета Полевского городского округа, утвержденного решением Думы Полевского городского округа от 16.04.2009 № 778.</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i/>
          <w:iCs/>
          <w:color w:val="000000"/>
          <w:sz w:val="28"/>
          <w:szCs w:val="28"/>
          <w:lang w:eastAsia="ru-RU"/>
        </w:rPr>
        <w:t>8.1. Проверка полноты бюджетной отчетности.</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Главные администраторы бюджетных средств в соответствии с частью 3 статьи 264.1 Бюджетного кодекса РФ и пунктом 1 Инструкции № 191н составили годовую бюджетную отчетность в составе форм отчетов для главных распорядителей бюджетных средств, главных администраторов доходов и источников финансирования дефицита бюджета.</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что соответствует пункту 8 Инструкции 191н.</w:t>
      </w:r>
    </w:p>
    <w:p w:rsidR="000A5EF3" w:rsidRPr="000A5EF3" w:rsidRDefault="000A5EF3" w:rsidP="000A5EF3">
      <w:pPr>
        <w:spacing w:before="195" w:after="0" w:line="240" w:lineRule="auto"/>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w:t>
      </w:r>
      <w:r w:rsidRPr="000A5EF3">
        <w:rPr>
          <w:rFonts w:ascii="Times New Roman" w:eastAsia="Times New Roman" w:hAnsi="Times New Roman" w:cs="Times New Roman"/>
          <w:color w:val="000000"/>
          <w:sz w:val="28"/>
          <w:szCs w:val="28"/>
          <w:lang w:eastAsia="ru-RU"/>
        </w:rPr>
        <w:t xml:space="preserve">Состав представленной для проверки годовой бюджетной отчетности главных администраторов бюджетных средств соответствует пункту 11.1 Инструкции 191н, за исключением отчетности ОМС Управление культурой Полевского городского округа, не представившего в составе раздела 1 «Организационная структура субъекта бюджетной отчетности» Пояснительной записки (ф. 0503160) Таблицу 1 «Сведения об </w:t>
      </w:r>
      <w:r w:rsidRPr="000A5EF3">
        <w:rPr>
          <w:rFonts w:ascii="Times New Roman" w:eastAsia="Times New Roman" w:hAnsi="Times New Roman" w:cs="Times New Roman"/>
          <w:color w:val="000000"/>
          <w:sz w:val="28"/>
          <w:szCs w:val="28"/>
          <w:lang w:eastAsia="ru-RU"/>
        </w:rPr>
        <w:lastRenderedPageBreak/>
        <w:t>основных направлениях деятельности», что не соответствует пункту 152 Инструкции 191н.</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Показатели форм бюджетной отчетности, таблиц, текстовая часть Пояснительных записок содержат полную информацию об исполнении местного бюджета главными администраторами бюджетных средств, информацию о состоянии финансовых и нефинансовых активов, обязательствах.</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Таким образом, бюджетная отчетность главных администраторов бюджетных средств составлена по формам, определенным Инструкцией № 191н, и позволяет внутренним и внешним пользователям оценить бюджетную деятельность субъектов бюджетной отчетности в проверяемом периоде.</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i/>
          <w:iCs/>
          <w:color w:val="000000"/>
          <w:spacing w:val="-2"/>
          <w:sz w:val="28"/>
          <w:szCs w:val="28"/>
          <w:lang w:eastAsia="ru-RU"/>
        </w:rPr>
        <w:t>8.2. Проверка достоверности бюджетной отчетности.</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ходе внешней проверки оценивалась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 «утвержденные бюджетные назначения» и «исполнено – итого»,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ходе проведения внешней проверки установлено:</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получатели бюджетных средств, администраторы доходов и источников финансирования дефицита бюджета представили бюджетную отчетность своим вышестоящим главным распорядителям и главным администраторам доходов и источников финансирования дефицита бюджета в установленные ими сроки, что соответствует пункту 10 Инструкции 191н;</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xml:space="preserve">- 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w:t>
      </w:r>
      <w:r w:rsidRPr="000A5EF3">
        <w:rPr>
          <w:rFonts w:ascii="Tahoma" w:eastAsia="Times New Roman" w:hAnsi="Tahoma" w:cs="Tahoma"/>
          <w:color w:val="000000"/>
          <w:sz w:val="28"/>
          <w:szCs w:val="28"/>
          <w:lang w:eastAsia="ru-RU"/>
        </w:rPr>
        <w:lastRenderedPageBreak/>
        <w:t>суммирования одноименных показателей по строкам и графам соответствующих разделов отчета, составили Отчет об исполнении бюджета и представили ее финансовому органу.</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ходе проведения внешней проверки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представленного главным администратором бюджетных средств:</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утвержденные бюджетные назначения, указанные в Отчете главного администратора бюджетных средств соответствуют показателям утвержденного бюджета (с учетом изменений), и (или) показателям сводной бюджетной росписи;</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исполнение бюджетных назначений, указанные в Отчете главного администратора бюджетных средств,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подтверждено:</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справками о перечислении поступлений в бюджеты, представленными Управлением Федерального казначейства по Свердловской области Финансовому управлению Администрации Полевского городского округа;</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отчетами о состоянии лицевого счета получателей средств местного бюджета, представленными Финансовым управлением Администрации Полевского городского округа;</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отчетом по поступлениям и выбытиям на 01 января 2020 года, представленным Управлением федерального казначейства по Свердловской области.</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xml:space="preserve">Таким образом, в ходе внешней проверки установлено, что бюджетная отчетность главных администраторов бюджетных средств сформирована исходя из правил, установленных Инструкцией № 191н, 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w:t>
      </w:r>
      <w:r w:rsidRPr="000A5EF3">
        <w:rPr>
          <w:rFonts w:ascii="Tahoma" w:eastAsia="Times New Roman" w:hAnsi="Tahoma" w:cs="Tahoma"/>
          <w:color w:val="000000"/>
          <w:sz w:val="28"/>
          <w:szCs w:val="28"/>
          <w:lang w:eastAsia="ru-RU"/>
        </w:rPr>
        <w:lastRenderedPageBreak/>
        <w:t>администратора, администратора источников финансирования дефицита бюджета, главного администратора, администратора доходов бюджета в части «установленных бюджетных назначений» и «исполнено – итого».</w:t>
      </w:r>
    </w:p>
    <w:p w:rsidR="000A5EF3" w:rsidRPr="000A5EF3" w:rsidRDefault="000A5EF3" w:rsidP="000A5EF3">
      <w:pPr>
        <w:spacing w:before="195" w:after="0" w:line="368" w:lineRule="atLeast"/>
        <w:ind w:firstLine="720"/>
        <w:jc w:val="both"/>
        <w:rPr>
          <w:rFonts w:ascii="Tahoma" w:eastAsia="Times New Roman" w:hAnsi="Tahoma" w:cs="Tahoma"/>
          <w:color w:val="000000"/>
          <w:sz w:val="21"/>
          <w:szCs w:val="21"/>
          <w:lang w:eastAsia="ru-RU"/>
        </w:rPr>
      </w:pPr>
      <w:r w:rsidRPr="000A5EF3">
        <w:rPr>
          <w:rFonts w:ascii="Tahoma" w:eastAsia="Times New Roman" w:hAnsi="Tahoma" w:cs="Tahoma"/>
          <w:b/>
          <w:bCs/>
          <w:color w:val="000000"/>
          <w:sz w:val="28"/>
          <w:szCs w:val="28"/>
          <w:lang w:eastAsia="ru-RU"/>
        </w:rPr>
        <w:t>9.</w:t>
      </w:r>
      <w:r w:rsidRPr="000A5EF3">
        <w:rPr>
          <w:rFonts w:ascii="Tahoma" w:eastAsia="Times New Roman" w:hAnsi="Tahoma" w:cs="Tahoma"/>
          <w:color w:val="000000"/>
          <w:sz w:val="28"/>
          <w:szCs w:val="28"/>
          <w:lang w:eastAsia="ru-RU"/>
        </w:rPr>
        <w:t>По результатам проверки Счетной палатой составлены акты от 13.04.2020 № 2, 13.04.2020 № 3, 13.04.2020 № 4, 13.04.2020 № 5, 13.04.2020 № 6, 13.04.2020 № 7, 13.04.2020 № 8.</w:t>
      </w:r>
    </w:p>
    <w:p w:rsidR="000A5EF3" w:rsidRPr="000A5EF3" w:rsidRDefault="000A5EF3" w:rsidP="000A5EF3">
      <w:pPr>
        <w:spacing w:before="195" w:after="0" w:line="368" w:lineRule="atLeast"/>
        <w:ind w:firstLine="700"/>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статьей 18 Положения о Счетной палате Полевского городского округа, утвержденного решением Думы Полевского городского округа от 15.12.2011 года № 436, замечания и пояснения не поступали.</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10. Выводы:</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Бюджетная отчетность главных администраторов бюджетных средств Полевского городского округа составлена и представлена в полном объеме (за исключением отчетности органа местного самоуправления Управление культурой Полевского городского округа) в соответствии с нормативным требованиям составления и представления бюджетной отчетности, установленными статьей 264.1 Бюджетного кодекса РФ и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Плановые показатели, отраженные в годовой бюджетной отчетности за 2019 год соответствуют показателям, утвержденным решением Думы Полевского городского округа от 13.12.2018 № 145 «О бюджете Полевского городского округа на 2019 год и плановый период 2020 и 2021 годов» и сводной бюджетной росписи на 2019 год с учетом изменений, внесенных в ходе исполнения бюджета.</w:t>
      </w:r>
    </w:p>
    <w:p w:rsidR="000A5EF3" w:rsidRPr="000A5EF3" w:rsidRDefault="000A5EF3" w:rsidP="000A5EF3">
      <w:pPr>
        <w:spacing w:before="195" w:after="0" w:line="368" w:lineRule="atLeast"/>
        <w:ind w:firstLine="709"/>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 xml:space="preserve">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w:t>
      </w:r>
      <w:r w:rsidRPr="000A5EF3">
        <w:rPr>
          <w:rFonts w:ascii="Tahoma" w:eastAsia="Times New Roman" w:hAnsi="Tahoma" w:cs="Tahoma"/>
          <w:color w:val="000000"/>
          <w:sz w:val="28"/>
          <w:szCs w:val="28"/>
          <w:lang w:eastAsia="ru-RU"/>
        </w:rPr>
        <w:lastRenderedPageBreak/>
        <w:t>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b/>
          <w:bCs/>
          <w:color w:val="000000"/>
          <w:sz w:val="28"/>
          <w:szCs w:val="28"/>
          <w:lang w:eastAsia="ru-RU"/>
        </w:rPr>
        <w:t>11. Предложения (рекомендации):</w:t>
      </w:r>
    </w:p>
    <w:p w:rsidR="000A5EF3" w:rsidRPr="000A5EF3" w:rsidRDefault="000A5EF3" w:rsidP="000A5EF3">
      <w:pPr>
        <w:spacing w:before="195" w:after="0" w:line="240" w:lineRule="auto"/>
        <w:ind w:firstLine="709"/>
        <w:jc w:val="both"/>
        <w:rPr>
          <w:rFonts w:ascii="Tahoma" w:eastAsia="Times New Roman" w:hAnsi="Tahoma" w:cs="Tahoma"/>
          <w:color w:val="000000"/>
          <w:sz w:val="21"/>
          <w:szCs w:val="21"/>
          <w:lang w:eastAsia="ru-RU"/>
        </w:rPr>
      </w:pPr>
      <w:r w:rsidRPr="000A5EF3">
        <w:rPr>
          <w:rFonts w:ascii="Times New Roman" w:eastAsia="Times New Roman" w:hAnsi="Times New Roman" w:cs="Times New Roman"/>
          <w:color w:val="000000"/>
          <w:sz w:val="28"/>
          <w:szCs w:val="28"/>
          <w:lang w:eastAsia="ru-RU"/>
        </w:rPr>
        <w:t>Направить информацию о результатах контрольного мероприятия в Думу Полевского городского округа и Главе Полевского городского округа.</w:t>
      </w:r>
    </w:p>
    <w:p w:rsidR="000A5EF3" w:rsidRPr="000A5EF3" w:rsidRDefault="000A5EF3" w:rsidP="000A5EF3">
      <w:pPr>
        <w:spacing w:before="195" w:after="0" w:line="368" w:lineRule="atLeast"/>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Инспектор Счетной палаты</w:t>
      </w:r>
    </w:p>
    <w:p w:rsidR="000A5EF3" w:rsidRPr="000A5EF3" w:rsidRDefault="000A5EF3" w:rsidP="000A5EF3">
      <w:pPr>
        <w:spacing w:before="195" w:after="0" w:line="368" w:lineRule="atLeast"/>
        <w:jc w:val="both"/>
        <w:rPr>
          <w:rFonts w:ascii="Tahoma" w:eastAsia="Times New Roman" w:hAnsi="Tahoma" w:cs="Tahoma"/>
          <w:color w:val="000000"/>
          <w:sz w:val="21"/>
          <w:szCs w:val="21"/>
          <w:lang w:eastAsia="ru-RU"/>
        </w:rPr>
      </w:pPr>
      <w:r w:rsidRPr="000A5EF3">
        <w:rPr>
          <w:rFonts w:ascii="Tahoma" w:eastAsia="Times New Roman" w:hAnsi="Tahoma" w:cs="Tahoma"/>
          <w:color w:val="000000"/>
          <w:sz w:val="28"/>
          <w:szCs w:val="28"/>
          <w:lang w:eastAsia="ru-RU"/>
        </w:rPr>
        <w:t>Полевского городского округа                                                             Т.Е. Фарнина</w:t>
      </w:r>
    </w:p>
    <w:p w:rsidR="00E25C88" w:rsidRDefault="00E25C88">
      <w:bookmarkStart w:id="0" w:name="_GoBack"/>
      <w:bookmarkEnd w:id="0"/>
    </w:p>
    <w:sectPr w:rsidR="00E25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970"/>
    <w:rsid w:val="000A5EF3"/>
    <w:rsid w:val="00503970"/>
    <w:rsid w:val="00E25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5E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5EF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A5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5EF3"/>
    <w:rPr>
      <w:b/>
      <w:bCs/>
    </w:rPr>
  </w:style>
  <w:style w:type="character" w:styleId="a5">
    <w:name w:val="Emphasis"/>
    <w:basedOn w:val="a0"/>
    <w:uiPriority w:val="20"/>
    <w:qFormat/>
    <w:rsid w:val="000A5E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5E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5EF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A5E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5EF3"/>
    <w:rPr>
      <w:b/>
      <w:bCs/>
    </w:rPr>
  </w:style>
  <w:style w:type="character" w:styleId="a5">
    <w:name w:val="Emphasis"/>
    <w:basedOn w:val="a0"/>
    <w:uiPriority w:val="20"/>
    <w:qFormat/>
    <w:rsid w:val="000A5E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11621">
      <w:bodyDiv w:val="1"/>
      <w:marLeft w:val="0"/>
      <w:marRight w:val="0"/>
      <w:marTop w:val="0"/>
      <w:marBottom w:val="0"/>
      <w:divBdr>
        <w:top w:val="none" w:sz="0" w:space="0" w:color="auto"/>
        <w:left w:val="none" w:sz="0" w:space="0" w:color="auto"/>
        <w:bottom w:val="none" w:sz="0" w:space="0" w:color="auto"/>
        <w:right w:val="none" w:sz="0" w:space="0" w:color="auto"/>
      </w:divBdr>
      <w:divsChild>
        <w:div w:id="2145852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1825</Words>
  <Characters>10409</Characters>
  <Application>Microsoft Office Word</Application>
  <DocSecurity>0</DocSecurity>
  <Lines>86</Lines>
  <Paragraphs>24</Paragraphs>
  <ScaleCrop>false</ScaleCrop>
  <Company/>
  <LinksUpToDate>false</LinksUpToDate>
  <CharactersWithSpaces>12210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2026-03-21T16:18:00Z</dcterms:created>
  <dcterms:modified xsi:type="dcterms:W3CDTF">2026-03-21T16:18:00Z</dcterms:modified>
</cp:coreProperties>
</file>