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8AB" w:rsidRPr="007B68AB" w:rsidRDefault="007B68AB" w:rsidP="007B68AB">
      <w:pPr>
        <w:spacing w:before="75" w:after="75" w:line="432" w:lineRule="atLeast"/>
        <w:ind w:left="150" w:right="150"/>
        <w:outlineLvl w:val="1"/>
        <w:rPr>
          <w:rFonts w:ascii="Verdana" w:eastAsia="Times New Roman" w:hAnsi="Verdana" w:cs="Times New Roman"/>
          <w:color w:val="1E6E53"/>
          <w:sz w:val="36"/>
          <w:szCs w:val="36"/>
          <w:lang w:eastAsia="ru-RU"/>
        </w:rPr>
      </w:pPr>
      <w:r w:rsidRPr="007B68AB">
        <w:rPr>
          <w:rFonts w:ascii="Verdana" w:eastAsia="Times New Roman" w:hAnsi="Verdana" w:cs="Times New Roman"/>
          <w:color w:val="1E6E53"/>
          <w:sz w:val="36"/>
          <w:szCs w:val="36"/>
          <w:lang w:eastAsia="ru-RU"/>
        </w:rPr>
        <w:t>Информация об итогах контрольного мероприятия «Проверка поступления арендной платы в бюджет Полевского городского округа по итогам проведенных аукционов на право заключения договора аренды земельных участков (выборочно)».</w:t>
      </w:r>
    </w:p>
    <w:p w:rsidR="007B68AB" w:rsidRPr="007B68AB" w:rsidRDefault="007B68AB" w:rsidP="007B68AB">
      <w:pPr>
        <w:shd w:val="clear" w:color="auto" w:fill="FFFFFF"/>
        <w:spacing w:before="195" w:after="0" w:line="240" w:lineRule="auto"/>
        <w:jc w:val="center"/>
        <w:rPr>
          <w:rFonts w:ascii="Tahoma" w:eastAsia="Times New Roman" w:hAnsi="Tahoma" w:cs="Tahoma"/>
          <w:color w:val="000000"/>
          <w:sz w:val="21"/>
          <w:szCs w:val="21"/>
          <w:lang w:eastAsia="ru-RU"/>
        </w:rPr>
      </w:pPr>
      <w:r w:rsidRPr="007B68AB">
        <w:rPr>
          <w:rFonts w:ascii="Times New Roman" w:eastAsia="Times New Roman" w:hAnsi="Times New Roman" w:cs="Times New Roman"/>
          <w:b/>
          <w:bCs/>
          <w:color w:val="000000"/>
          <w:sz w:val="28"/>
          <w:szCs w:val="28"/>
          <w:lang w:eastAsia="ru-RU"/>
        </w:rPr>
        <w:t>СЧЕТНАЯ ПАЛАТА ПОЛЕВСКОГО ГОРОДСКОГО ОКРУГА ____________________________________________________________________</w:t>
      </w:r>
    </w:p>
    <w:p w:rsidR="007B68AB" w:rsidRPr="007B68AB" w:rsidRDefault="007B68AB" w:rsidP="007B68AB">
      <w:pPr>
        <w:shd w:val="clear" w:color="auto" w:fill="FFFFFF"/>
        <w:spacing w:before="195" w:after="0" w:line="240" w:lineRule="auto"/>
        <w:jc w:val="center"/>
        <w:rPr>
          <w:rFonts w:ascii="Tahoma" w:eastAsia="Times New Roman" w:hAnsi="Tahoma" w:cs="Tahoma"/>
          <w:color w:val="000000"/>
          <w:sz w:val="21"/>
          <w:szCs w:val="21"/>
          <w:lang w:eastAsia="ru-RU"/>
        </w:rPr>
      </w:pPr>
      <w:r w:rsidRPr="007B68AB">
        <w:rPr>
          <w:rFonts w:ascii="Times New Roman" w:eastAsia="Times New Roman" w:hAnsi="Times New Roman" w:cs="Times New Roman"/>
          <w:b/>
          <w:bCs/>
          <w:color w:val="000000"/>
          <w:sz w:val="28"/>
          <w:szCs w:val="28"/>
          <w:lang w:eastAsia="ru-RU"/>
        </w:rPr>
        <w:t>ИНФОРМАЦИЯ</w:t>
      </w:r>
    </w:p>
    <w:p w:rsidR="007B68AB" w:rsidRPr="007B68AB" w:rsidRDefault="007B68AB" w:rsidP="007B68AB">
      <w:pPr>
        <w:shd w:val="clear" w:color="auto" w:fill="FFFFFF"/>
        <w:spacing w:before="195" w:after="0" w:line="240" w:lineRule="auto"/>
        <w:jc w:val="center"/>
        <w:rPr>
          <w:rFonts w:ascii="Tahoma" w:eastAsia="Times New Roman" w:hAnsi="Tahoma" w:cs="Tahoma"/>
          <w:color w:val="000000"/>
          <w:sz w:val="21"/>
          <w:szCs w:val="21"/>
          <w:lang w:eastAsia="ru-RU"/>
        </w:rPr>
      </w:pPr>
      <w:r w:rsidRPr="007B68AB">
        <w:rPr>
          <w:rFonts w:ascii="Times New Roman" w:eastAsia="Times New Roman" w:hAnsi="Times New Roman" w:cs="Times New Roman"/>
          <w:b/>
          <w:bCs/>
          <w:color w:val="000000"/>
          <w:sz w:val="28"/>
          <w:szCs w:val="28"/>
          <w:lang w:eastAsia="ru-RU"/>
        </w:rPr>
        <w:t>ОБ ОСНОВНЫХ ИТОГАХ КОНТРОЛЬНОГО МЕРОПРИЯТИЯ</w:t>
      </w:r>
    </w:p>
    <w:p w:rsidR="007B68AB" w:rsidRPr="007B68AB" w:rsidRDefault="007B68AB" w:rsidP="007B68AB">
      <w:pPr>
        <w:shd w:val="clear" w:color="auto" w:fill="FFFFFF"/>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Счетной палатой Полевского городского округа в соответствии с пунктом 6 раздела 1 плана работы Счетной палаты Полевского городского округа на 2018 год, утвержденного распоряжением Счетной палаты Полевского городского округа от 22.12.2017 № 96 (с изменениями), пунктом 1.1 плана работы Счетной палаты Полевского городского округа на 2019 год, утвержденного распоряжением Счетной палаты Полевского городского округа от 26.12.2018 № 105, распоряжением председателя Счетной палаты от 21.12.2018 года № 102 «О проведении контрольного мероприятия» (с изменениями), проведено контрольное мероприятие «Проверка поступления арендной платы в бюджет Полевского городского округа по итогам проведенных аукционов на право заключения договора аренды земельных участков (выборочно)».</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u w:val="single"/>
          <w:lang w:eastAsia="ru-RU"/>
        </w:rPr>
        <w:t>Цель контрольного мероприятия:</w:t>
      </w:r>
      <w:r w:rsidRPr="007B68AB">
        <w:rPr>
          <w:rFonts w:ascii="Times New Roman" w:eastAsia="Times New Roman" w:hAnsi="Times New Roman" w:cs="Times New Roman"/>
          <w:color w:val="000000"/>
          <w:sz w:val="28"/>
          <w:szCs w:val="28"/>
          <w:lang w:eastAsia="ru-RU"/>
        </w:rPr>
        <w:t> проверить деятельность органа местного самоуправления Управление муниципальным имуществом Полевского городского округа по распоряжению земельными участками, указанными в заявлениях граждан от 28.06.2018 года и от 11.07.2018 года.</w:t>
      </w:r>
    </w:p>
    <w:p w:rsidR="007B68AB" w:rsidRPr="007B68AB" w:rsidRDefault="007B68AB" w:rsidP="007B68AB">
      <w:pPr>
        <w:shd w:val="clear" w:color="auto" w:fill="FFFFFF"/>
        <w:spacing w:before="195" w:after="0" w:line="240" w:lineRule="auto"/>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         </w:t>
      </w:r>
      <w:r w:rsidRPr="007B68AB">
        <w:rPr>
          <w:rFonts w:ascii="Times New Roman" w:eastAsia="Times New Roman" w:hAnsi="Times New Roman" w:cs="Times New Roman"/>
          <w:color w:val="000000"/>
          <w:sz w:val="28"/>
          <w:szCs w:val="28"/>
          <w:u w:val="single"/>
          <w:lang w:eastAsia="ru-RU"/>
        </w:rPr>
        <w:t>Объект контрольного мероприятия</w:t>
      </w:r>
      <w:r w:rsidRPr="007B68AB">
        <w:rPr>
          <w:rFonts w:ascii="Times New Roman" w:eastAsia="Times New Roman" w:hAnsi="Times New Roman" w:cs="Times New Roman"/>
          <w:color w:val="000000"/>
          <w:sz w:val="28"/>
          <w:szCs w:val="28"/>
          <w:lang w:eastAsia="ru-RU"/>
        </w:rPr>
        <w:t>: орган местного самоуправления Управление муниципальным имуществом Полевского городского округа (далее также – ОМС Управление муниципальным имуществом ПГО).</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 xml:space="preserve">По результатам контрольного мероприятия Счетной палатой составлен акт от 06 февраля 2019 года. В установленный срок, в течение пяти рабочих дней, в соответствии со статьей 17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статьей 18 Положения о Счетной палате Полевского городского округа, утвержденного решением Думы Полевского городского округа от 15.12.2011 года № 436, начальник ОМС Управление </w:t>
      </w:r>
      <w:r w:rsidRPr="007B68AB">
        <w:rPr>
          <w:rFonts w:ascii="Times New Roman" w:eastAsia="Times New Roman" w:hAnsi="Times New Roman" w:cs="Times New Roman"/>
          <w:color w:val="000000"/>
          <w:sz w:val="28"/>
          <w:szCs w:val="28"/>
          <w:lang w:eastAsia="ru-RU"/>
        </w:rPr>
        <w:lastRenderedPageBreak/>
        <w:t>муниципальным имуществом ПГО представил пояснения и замечания к акту проверки.</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Пояснения и замечания начальника ОМС Управление муниципальным имуществом ПГО и заключение Счетной палаты на замечания приобщены к акту, включены в материалы контрольного мероприятия и учтены при составлении отчета о результатах контрольного мероприятия.</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Объем проверенных средств составил 17 622 357,88 рублей.</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    </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В результате проведенного контрольного мероприятия выявлено:</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1. В ходе выборочной проверки продажи прав на заключение договоров аренды земельных участков на торгах, полноты и своевременности внесения арендной платы за пользование земельными участками, и обоснованности перехода прав по 11 земельным участкам, на которые государственная собственность не была разграничена, и которые предоставлены гражданам для индивидуального жилищного строительства или ведения личного подсобного хозяйства в границах населенных пунктов установлено следующее.</w:t>
      </w:r>
    </w:p>
    <w:p w:rsidR="007B68AB" w:rsidRPr="007B68AB" w:rsidRDefault="007B68AB" w:rsidP="007B68AB">
      <w:pPr>
        <w:spacing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В нарушение </w:t>
      </w:r>
      <w:hyperlink r:id="rId5" w:history="1">
        <w:r w:rsidRPr="007B68AB">
          <w:rPr>
            <w:rFonts w:ascii="Times New Roman" w:eastAsia="Times New Roman" w:hAnsi="Times New Roman" w:cs="Times New Roman"/>
            <w:sz w:val="28"/>
            <w:szCs w:val="28"/>
            <w:lang w:eastAsia="ru-RU"/>
          </w:rPr>
          <w:t>подпункта 7 пункта 1 статьи 1</w:t>
        </w:r>
      </w:hyperlink>
      <w:r w:rsidRPr="007B68AB">
        <w:rPr>
          <w:rFonts w:ascii="Times New Roman" w:eastAsia="Times New Roman" w:hAnsi="Times New Roman" w:cs="Times New Roman"/>
          <w:color w:val="000000"/>
          <w:sz w:val="28"/>
          <w:szCs w:val="28"/>
          <w:lang w:eastAsia="ru-RU"/>
        </w:rPr>
        <w:t> Земельного кодекса РФ, которым предусмотрен принцип платности использования земли, за период с даты, следующей за датой расторжения договора аренды земельного участка, по дату, предшествующую дате регистрации права собственности граждан на земельный участок, арендная плата за пользование десятью земельными участками ОМС Управление муниципальным имуществом ПГО не начислялась, не предъявлялась к оплате, и, соответственно, не уплачивалась пользователями земельных участков. Недополученные в бюджет доходы от пользования земельными участками до государственной регистрации перехода права собственности на землю без соответствующей оплаты составили 706 432,94 рублей.</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 xml:space="preserve">В нарушение условий договоров аренды ОМС Управление муниципальным имуществом ПГО в одностороннем порядке не осуществлено изменение арендной платы по трем договорам аренды на коэффициент увеличения, в размере 1,04, установленный Постановлением Правительства Свердловской области от 29.12.2016 N 928-ПП "Об установлении на 2017 год коэффициента увеличения, применяемого при расчете арендной платы за земельные участки, находящиеся в государственной собственности Свердловской области, и земельные участки, право государственной собственности на которые не разграничено, расположенные на территории Свердловской области", и не направлены арендаторам уведомления о перерасчете арендной платы. Недополученные в бюджет доходы от неприменения с 01.01.2017 года увеличения размера </w:t>
      </w:r>
      <w:r w:rsidRPr="007B68AB">
        <w:rPr>
          <w:rFonts w:ascii="Times New Roman" w:eastAsia="Times New Roman" w:hAnsi="Times New Roman" w:cs="Times New Roman"/>
          <w:color w:val="000000"/>
          <w:sz w:val="28"/>
          <w:szCs w:val="28"/>
          <w:lang w:eastAsia="ru-RU"/>
        </w:rPr>
        <w:lastRenderedPageBreak/>
        <w:t>арендной платы на коэффициент, установленный Правительством Свердловской области, составили 9 398,68 рублей.</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Все проверенные договоры аренды земельных участков расторгнуты в связи с продажей земельных участков их арендаторам. Договоры купли-продажи земельных участков заключены ОМС Управление муниципальным имуществом ПГО с бывшими арендаторами без проведения торгов со ссылкой на положения пункта 1 статьи 39.20 Земельного кодекса РФ, которым предусмотрено исключительное право лиц, являющихся собственниками зданий, сооружений, расположенных на земельных участках, на приобретение таких земельных участков в собственность, и с указанием на наличии на земельных участках объектов недвижимости, принадлежавших покупателям.</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Проверкой установлено, что на десяти земельных участках, предоставленных ОМС Управление муниципальным имуществом ПГО в собственность гражданам для ведения личного подсобного хозяйства в границах населенных пунктов, возведены объекты – одноэтажные хозяйственные постройки нежилого назначения, принадлежавшие покупателям. Указанные земельные участки на момент их предоставления в собственность гражданам по льготной выкупной цене не были заняты личным подсобным хозяйством, которое бы соответствовало положениям Федерального закона от 07.07.2003 № 112-ФЗ «О личном подсобном хозяйстве».</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Имущественный убыток от необоснованного предоставления в собственность граждан земельных участков государственная собственность, на которые не разграничена, для ведения личного подсобного хозяйства, при продаже их по льготной цене (0,9 % кадастровой стоимости), составил 4 427 497,53 рублей.</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2. В ходе проверки обеспечения ОМС Управление муниципальным имуществом ПГО поступления в бюджет арендной платы от ООО «Финансовая Строительная Корпорация» по договору аренды земельного участка № 81-10-Ю от 21.10.2010 года установлено, что в результате несвоевременного принятия ОМС Управление муниципальным имуществом ПГО мер по взысканию задолженности по арендной плате с арендатора ООО «Финансовая строительная корпорация», а также в связи с несоблюдением судебным приставом-исполнителем сроков исполнения требований, содержащихся в исполнительном документе, бюджет Полевского городского округа недополучил доходов по арендной плате в сумме 14 333 908,39 руб. и процентам за пользование чужими денежными средствами в сумме 1 144 024,15 руб.</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Отчет о результатах контрольного мероприятия утвержден распоряжением Счетной палаты Полевского городского округа от 20.03.2019 № 21.</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lastRenderedPageBreak/>
        <w:t>По фактам выявленных нарушений и недостатков Счетной палатой Полевского городского округа направлено представление начальнику органа местного самоуправления Управление муниципальным имуществом Полевского городского округа с предложениями для принятия мер по устранению выявленных нарушений и недостатков, а также по предупреждению их в дальнейшем.</w:t>
      </w:r>
    </w:p>
    <w:p w:rsidR="007B68AB" w:rsidRPr="007B68AB" w:rsidRDefault="007B68AB" w:rsidP="007B68AB">
      <w:pPr>
        <w:spacing w:before="195" w:after="0" w:line="240" w:lineRule="auto"/>
        <w:ind w:firstLine="709"/>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Материалы проверки направлены в Прокуратуру города Полевского.</w:t>
      </w:r>
    </w:p>
    <w:p w:rsidR="007B68AB" w:rsidRPr="007B68AB" w:rsidRDefault="007B68AB" w:rsidP="007B68AB">
      <w:pPr>
        <w:spacing w:before="195" w:after="0" w:line="240" w:lineRule="auto"/>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shd w:val="clear" w:color="auto" w:fill="FFFF00"/>
          <w:lang w:eastAsia="ru-RU"/>
        </w:rPr>
        <w:t> </w:t>
      </w:r>
    </w:p>
    <w:p w:rsidR="007B68AB" w:rsidRPr="007B68AB" w:rsidRDefault="007B68AB" w:rsidP="007B68AB">
      <w:pPr>
        <w:spacing w:before="195" w:after="0" w:line="240" w:lineRule="auto"/>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Председатель Счетной палаты</w:t>
      </w:r>
    </w:p>
    <w:p w:rsidR="007B68AB" w:rsidRPr="007B68AB" w:rsidRDefault="007B68AB" w:rsidP="007B68AB">
      <w:pPr>
        <w:spacing w:before="195" w:after="0" w:line="240" w:lineRule="auto"/>
        <w:jc w:val="both"/>
        <w:rPr>
          <w:rFonts w:ascii="Tahoma" w:eastAsia="Times New Roman" w:hAnsi="Tahoma" w:cs="Tahoma"/>
          <w:color w:val="000000"/>
          <w:sz w:val="21"/>
          <w:szCs w:val="21"/>
          <w:lang w:eastAsia="ru-RU"/>
        </w:rPr>
      </w:pPr>
      <w:r w:rsidRPr="007B68AB">
        <w:rPr>
          <w:rFonts w:ascii="Times New Roman" w:eastAsia="Times New Roman" w:hAnsi="Times New Roman" w:cs="Times New Roman"/>
          <w:color w:val="000000"/>
          <w:sz w:val="28"/>
          <w:szCs w:val="28"/>
          <w:lang w:eastAsia="ru-RU"/>
        </w:rPr>
        <w:t>Полевского городского округа                                                             И.М. Зюзева</w:t>
      </w:r>
    </w:p>
    <w:p w:rsidR="00771674" w:rsidRDefault="00771674">
      <w:bookmarkStart w:id="0" w:name="_GoBack"/>
      <w:bookmarkEnd w:id="0"/>
    </w:p>
    <w:sectPr w:rsidR="007716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092"/>
    <w:rsid w:val="00771674"/>
    <w:rsid w:val="007B68AB"/>
    <w:rsid w:val="00975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B68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68A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B6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68AB"/>
    <w:rPr>
      <w:b/>
      <w:bCs/>
    </w:rPr>
  </w:style>
  <w:style w:type="character" w:styleId="a5">
    <w:name w:val="Hyperlink"/>
    <w:basedOn w:val="a0"/>
    <w:uiPriority w:val="99"/>
    <w:semiHidden/>
    <w:unhideWhenUsed/>
    <w:rsid w:val="007B68A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B68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68A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B6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68AB"/>
    <w:rPr>
      <w:b/>
      <w:bCs/>
    </w:rPr>
  </w:style>
  <w:style w:type="character" w:styleId="a5">
    <w:name w:val="Hyperlink"/>
    <w:basedOn w:val="a0"/>
    <w:uiPriority w:val="99"/>
    <w:semiHidden/>
    <w:unhideWhenUsed/>
    <w:rsid w:val="007B68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710483">
      <w:bodyDiv w:val="1"/>
      <w:marLeft w:val="0"/>
      <w:marRight w:val="0"/>
      <w:marTop w:val="0"/>
      <w:marBottom w:val="0"/>
      <w:divBdr>
        <w:top w:val="none" w:sz="0" w:space="0" w:color="auto"/>
        <w:left w:val="none" w:sz="0" w:space="0" w:color="auto"/>
        <w:bottom w:val="none" w:sz="0" w:space="0" w:color="auto"/>
        <w:right w:val="none" w:sz="0" w:space="0" w:color="auto"/>
      </w:divBdr>
      <w:divsChild>
        <w:div w:id="1603613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87816D4B4DAB84E0D15C3E97F84A4ED16D8842C8E2C1F65AA515956BEE6069992704A68121BC355D86E19646AA68BDA097EDCBD492256336U8QE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1157</Words>
  <Characters>6596</Characters>
  <Application>Microsoft Office Word</Application>
  <DocSecurity>0</DocSecurity>
  <Lines>54</Lines>
  <Paragraphs>15</Paragraphs>
  <ScaleCrop>false</ScaleCrop>
  <Company/>
  <LinksUpToDate>false</LinksUpToDate>
  <CharactersWithSpaces>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2</cp:revision>
  <dcterms:created xsi:type="dcterms:W3CDTF">2026-03-21T16:22:00Z</dcterms:created>
  <dcterms:modified xsi:type="dcterms:W3CDTF">2026-03-21T16:22:00Z</dcterms:modified>
</cp:coreProperties>
</file>