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F1" w:rsidRPr="00A66DF1" w:rsidRDefault="00A66DF1" w:rsidP="00A66DF1">
      <w:pPr>
        <w:spacing w:before="75" w:after="75" w:line="432" w:lineRule="atLeast"/>
        <w:ind w:left="150" w:right="150"/>
        <w:outlineLvl w:val="1"/>
        <w:rPr>
          <w:rFonts w:ascii="Verdana" w:eastAsia="Times New Roman" w:hAnsi="Verdana" w:cs="Times New Roman"/>
          <w:color w:val="1E6E53"/>
          <w:sz w:val="36"/>
          <w:szCs w:val="36"/>
          <w:lang w:eastAsia="ru-RU"/>
        </w:rPr>
      </w:pPr>
      <w:r w:rsidRPr="00A66DF1">
        <w:rPr>
          <w:rFonts w:ascii="Verdana" w:eastAsia="Times New Roman" w:hAnsi="Verdana" w:cs="Times New Roman"/>
          <w:color w:val="1E6E53"/>
          <w:sz w:val="36"/>
          <w:szCs w:val="36"/>
          <w:lang w:eastAsia="ru-RU"/>
        </w:rPr>
        <w:t>Заключение от 29.04.2019 Счетной палаты Полевского городского округа на отчет об исполнении местного бюджета за 2018 год.</w:t>
      </w:r>
    </w:p>
    <w:p w:rsidR="00A66DF1" w:rsidRPr="00A66DF1" w:rsidRDefault="00A66DF1" w:rsidP="00A66DF1">
      <w:pPr>
        <w:shd w:val="clear" w:color="auto" w:fill="FFFFFF"/>
        <w:spacing w:before="195" w:after="0" w:line="240" w:lineRule="auto"/>
        <w:jc w:val="center"/>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СЧЕТНАЯ ПАЛАТА ПОЛЕВСКОГО ГОРОДСКОГО ОКРУГА</w:t>
      </w:r>
    </w:p>
    <w:p w:rsidR="00A66DF1" w:rsidRPr="00A66DF1" w:rsidRDefault="00A66DF1" w:rsidP="00A66DF1">
      <w:pPr>
        <w:shd w:val="clear" w:color="auto" w:fill="FFFFFF"/>
        <w:spacing w:before="195" w:after="0" w:line="240" w:lineRule="auto"/>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0"/>
          <w:szCs w:val="20"/>
          <w:lang w:eastAsia="ru-RU"/>
        </w:rPr>
        <w:t>________________________________________________________________________________________________</w:t>
      </w:r>
    </w:p>
    <w:p w:rsidR="00A66DF1" w:rsidRPr="00A66DF1" w:rsidRDefault="00A66DF1" w:rsidP="00A66DF1">
      <w:pPr>
        <w:shd w:val="clear" w:color="auto" w:fill="FFFFFF"/>
        <w:spacing w:before="195" w:after="0" w:line="240" w:lineRule="auto"/>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7"/>
          <w:szCs w:val="27"/>
          <w:lang w:eastAsia="ru-RU"/>
        </w:rPr>
        <w:t>15 апреля 2019 года                                                                                               № 5</w:t>
      </w:r>
    </w:p>
    <w:p w:rsidR="00A66DF1" w:rsidRPr="00A66DF1" w:rsidRDefault="00A66DF1" w:rsidP="00A66DF1">
      <w:pPr>
        <w:spacing w:before="195" w:after="0" w:line="368" w:lineRule="atLeast"/>
        <w:jc w:val="center"/>
        <w:rPr>
          <w:rFonts w:ascii="Tahoma" w:eastAsia="Times New Roman" w:hAnsi="Tahoma" w:cs="Tahoma"/>
          <w:color w:val="000000"/>
          <w:sz w:val="21"/>
          <w:szCs w:val="21"/>
          <w:lang w:eastAsia="ru-RU"/>
        </w:rPr>
      </w:pPr>
      <w:r w:rsidRPr="00A66DF1">
        <w:rPr>
          <w:rFonts w:ascii="Tahoma" w:eastAsia="Times New Roman" w:hAnsi="Tahoma" w:cs="Tahoma"/>
          <w:b/>
          <w:bCs/>
          <w:color w:val="000000"/>
          <w:sz w:val="28"/>
          <w:szCs w:val="28"/>
          <w:lang w:eastAsia="ru-RU"/>
        </w:rPr>
        <w:t>Отчет</w:t>
      </w:r>
    </w:p>
    <w:p w:rsidR="00A66DF1" w:rsidRPr="00A66DF1" w:rsidRDefault="00A66DF1" w:rsidP="00A66DF1">
      <w:pPr>
        <w:spacing w:before="195" w:after="0" w:line="368" w:lineRule="atLeast"/>
        <w:jc w:val="center"/>
        <w:rPr>
          <w:rFonts w:ascii="Tahoma" w:eastAsia="Times New Roman" w:hAnsi="Tahoma" w:cs="Tahoma"/>
          <w:color w:val="000000"/>
          <w:sz w:val="21"/>
          <w:szCs w:val="21"/>
          <w:lang w:eastAsia="ru-RU"/>
        </w:rPr>
      </w:pPr>
      <w:r w:rsidRPr="00A66DF1">
        <w:rPr>
          <w:rFonts w:ascii="Tahoma" w:eastAsia="Times New Roman" w:hAnsi="Tahoma" w:cs="Tahoma"/>
          <w:b/>
          <w:bCs/>
          <w:color w:val="000000"/>
          <w:sz w:val="28"/>
          <w:szCs w:val="28"/>
          <w:lang w:eastAsia="ru-RU"/>
        </w:rPr>
        <w:t>по результатам внешней проверки годовой бюджетной отчетности главных администраторов бюджетных средств Полевского городского округа за 2018 год</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1. Основание проверки: </w:t>
      </w:r>
      <w:r w:rsidRPr="00A66DF1">
        <w:rPr>
          <w:rFonts w:ascii="Times New Roman" w:eastAsia="Times New Roman" w:hAnsi="Times New Roman" w:cs="Times New Roman"/>
          <w:color w:val="000000"/>
          <w:sz w:val="28"/>
          <w:szCs w:val="28"/>
          <w:lang w:eastAsia="ru-RU"/>
        </w:rPr>
        <w:t>пункт 1.5. раздела 1 плана работы Счетной палаты Полевского городского округа на 2019 год, утвержденного распоряжением Счетной палаты Полевского городского округа от 26.12.2018 № 105, распоряжение Счетной палаты Полевского городского округа от 18.03.2019 № 20.</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2. Предмет контрольного мероприятия:</w:t>
      </w:r>
      <w:r w:rsidRPr="00A66DF1">
        <w:rPr>
          <w:rFonts w:ascii="Times New Roman" w:eastAsia="Times New Roman" w:hAnsi="Times New Roman" w:cs="Times New Roman"/>
          <w:color w:val="000000"/>
          <w:sz w:val="28"/>
          <w:szCs w:val="28"/>
          <w:lang w:eastAsia="ru-RU"/>
        </w:rPr>
        <w:t> годовая бюджетная отчетность главных администраторов бюджетных средств.</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3. Объекты контрольного мероприятия: </w:t>
      </w:r>
      <w:r w:rsidRPr="00A66DF1">
        <w:rPr>
          <w:rFonts w:ascii="Times New Roman" w:eastAsia="Times New Roman" w:hAnsi="Times New Roman" w:cs="Times New Roman"/>
          <w:color w:val="000000"/>
          <w:sz w:val="28"/>
          <w:szCs w:val="28"/>
          <w:lang w:eastAsia="ru-RU"/>
        </w:rPr>
        <w:t>Финансовое управление Администрации Полевского городского округа, Полевская городская территориальная избирательная комиссия, органы местного самоуправления Администрация Полевского городского округа, Управление муниципальным имуществом Полевского городского округа, Дума Полевского городского округа, Управление культурой Полевского городского округа, Управление образованием Полевского городского округа, Счетная палата Полевского городского округа.</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4. Цели контрольного мероприятия:</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i/>
          <w:iCs/>
          <w:color w:val="000000"/>
          <w:sz w:val="28"/>
          <w:szCs w:val="28"/>
          <w:lang w:eastAsia="ru-RU"/>
        </w:rPr>
        <w:t>Цель 1.</w:t>
      </w:r>
      <w:r w:rsidRPr="00A66DF1">
        <w:rPr>
          <w:rFonts w:ascii="Times New Roman" w:eastAsia="Times New Roman" w:hAnsi="Times New Roman" w:cs="Times New Roman"/>
          <w:color w:val="000000"/>
          <w:sz w:val="28"/>
          <w:szCs w:val="28"/>
          <w:lang w:eastAsia="ru-RU"/>
        </w:rPr>
        <w:t> Определение полноты годовой бюджетной отчетности главных администраторов бюджетных средств Полевского городского округа за 2018 год.</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i/>
          <w:iCs/>
          <w:color w:val="000000"/>
          <w:sz w:val="28"/>
          <w:szCs w:val="28"/>
          <w:lang w:eastAsia="ru-RU"/>
        </w:rPr>
        <w:t>Цель 2.</w:t>
      </w:r>
      <w:r w:rsidRPr="00A66DF1">
        <w:rPr>
          <w:rFonts w:ascii="Times New Roman" w:eastAsia="Times New Roman" w:hAnsi="Times New Roman" w:cs="Times New Roman"/>
          <w:color w:val="000000"/>
          <w:sz w:val="28"/>
          <w:szCs w:val="28"/>
          <w:lang w:eastAsia="ru-RU"/>
        </w:rPr>
        <w:t> Определение достоверности годовой бюджетной отчетности главных администраторов бюджетных средств Полевского городского округа за 2018 год.</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5. Проверяемый период деятельности:</w:t>
      </w:r>
      <w:r w:rsidRPr="00A66DF1">
        <w:rPr>
          <w:rFonts w:ascii="Times New Roman" w:eastAsia="Times New Roman" w:hAnsi="Times New Roman" w:cs="Times New Roman"/>
          <w:color w:val="000000"/>
          <w:sz w:val="28"/>
          <w:szCs w:val="28"/>
          <w:lang w:eastAsia="ru-RU"/>
        </w:rPr>
        <w:t> 2018 год.</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6. Срок проверки:</w:t>
      </w:r>
      <w:r w:rsidRPr="00A66DF1">
        <w:rPr>
          <w:rFonts w:ascii="Times New Roman" w:eastAsia="Times New Roman" w:hAnsi="Times New Roman" w:cs="Times New Roman"/>
          <w:color w:val="000000"/>
          <w:sz w:val="28"/>
          <w:szCs w:val="28"/>
          <w:lang w:eastAsia="ru-RU"/>
        </w:rPr>
        <w:t>с 19 марта 2019 года по 04 апреля 2019 года.</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lastRenderedPageBreak/>
        <w:t>7. Состав рабочей группы: </w:t>
      </w:r>
      <w:r w:rsidRPr="00A66DF1">
        <w:rPr>
          <w:rFonts w:ascii="Times New Roman" w:eastAsia="Times New Roman" w:hAnsi="Times New Roman" w:cs="Times New Roman"/>
          <w:color w:val="000000"/>
          <w:sz w:val="28"/>
          <w:szCs w:val="28"/>
          <w:lang w:eastAsia="ru-RU"/>
        </w:rPr>
        <w:t>инспекторы Счетной палаты Полевского городского округа Фарнина Т.Е., Кетова А.А.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b/>
          <w:bCs/>
          <w:color w:val="000000"/>
          <w:sz w:val="28"/>
          <w:szCs w:val="28"/>
          <w:lang w:eastAsia="ru-RU"/>
        </w:rPr>
        <w:t>8. Результаты контрольного мероприятия:</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ходе внешней проверки в соответствии со статьей 268.1 Бюджетного кодекса РФ Счетной палатой рассматривались вопросы о 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 годового отчета об исполнении местного бюджета.</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Внешняя проверка бюджетной отчетности главных администраторов бюджетных средств проведена смешанным способом (камерально и с выходом на объекты проверки). 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главных администраторов бюджетных средств – органов местного самоуправления Полевского городского округа.</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соответствии со статьей 264.2 Бюджетного кодекса РФ Финансовым управлением Администрации Полевского городского округа приказом от 12.12.2018 № 46 установлены сроки предоставления отчетности за 2018 год — в период с 24.01.2019 по 05.02.2019 года. Порядок предоставления бюджетной отчетности для главных администраторов бюджетных средств органов местного самоуправления Полевского городского округа определен письмом Финансового управления Администрации Полевского городского округа от 29.12.2018 № 02-07-04-787.</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 xml:space="preserve">Бюджетная отчетность главных администраторов бюджетных средств в соответствии с пунктом 10 Инструкции о порядке </w:t>
      </w:r>
      <w:r w:rsidRPr="00A66DF1">
        <w:rPr>
          <w:rFonts w:ascii="Tahoma" w:eastAsia="Times New Roman" w:hAnsi="Tahoma" w:cs="Tahoma"/>
          <w:color w:val="000000"/>
          <w:sz w:val="28"/>
          <w:szCs w:val="28"/>
          <w:lang w:eastAsia="ru-RU"/>
        </w:rPr>
        <w:lastRenderedPageBreak/>
        <w:t>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приказа Министерства финансов РФ от 28.12.2010 № 191н (далее – Инструкция № 191н), камерально проверена Финансовым управлением Администрации Полевского городского округа, о чем сделаны соответствующие отметки в листах согласования.</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Нарушения требований Инструкции № 191н и порядка, определенного Финансовым управлением Администрации Полевского городского округа, установленные Финансовым управлением Администрации Полевского округа в бюджетной отчетности главных администраторов бюджетных средств, устранены субъектами бюджетной отчетности в ходе камеральной проверки.</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Нарушений установленного срока представления бюджетной отчетности в Финансовое управление Администрации Полевского городского округа органами местного самоуправления не допущено.</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В Счетную палату Полевского городского округа для внешней проверки бюджетная отчетность представлена главными распорядителями бюджетных средств в срок, установленный Порядком проведения внешней проверки годового отчета об исполнении бюджета Полевского городского округа, утвержденного решением Думы Полевского городского округа от 16.04.2009 № 778.</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i/>
          <w:iCs/>
          <w:color w:val="000000"/>
          <w:sz w:val="28"/>
          <w:szCs w:val="28"/>
          <w:lang w:eastAsia="ru-RU"/>
        </w:rPr>
        <w:t>8.1. Проверка полноты бюджетной отчетности.</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Главные администраторы бюджетных средств в соответствии с частью 3 статьи 264.1 Бюджетного кодекса РФ и пунктом 1 Инструкции № 191н составили годовую бюджетную отчетность в составе форм отчетов для главных распорядителей бюджетных средств, главных администраторов доходов и источников финансирования дефицита бюджета.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что соответствует пункту 8 Инструкции 191н.</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Состав представленной для проверки годовой бюджетной отчетности главных администраторов бюджетных средств соответствует пункту 11.1 Инструкции 191н.</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lastRenderedPageBreak/>
        <w:t>Показатели форм бюджетной отчетности, таблиц, текстовая часть Пояснительных записок содержат полную информацию об исполнении местного бюджета главными администраторами бюджетных средств, информацию о состоянии финансовых и нефинансовых активов, обязательствах.</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Таким образом, бюджетная отчетность главными администраторами бюджетных средств составлена по формам, определенным Инструкцией № 191н, и позволяет внутренним и внешним пользователям оценить бюджетную деятельность субъектов бюджетной отчетности в проверяемом периоде.</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i/>
          <w:iCs/>
          <w:color w:val="000000"/>
          <w:spacing w:val="-2"/>
          <w:sz w:val="28"/>
          <w:szCs w:val="28"/>
          <w:lang w:eastAsia="ru-RU"/>
        </w:rPr>
        <w:t>8.2. Проверка достоверности бюджетной отчетности.</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ходе внешней проверки оценивалась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 «утвержденные бюджетные назначения» и «исполнено – итого»,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ходе проведения внешней проверки установлено:</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 получатели бюджетных средств, администраторы доходов и источников финансирования дефицита бюджета представили бюджетную отчетность своим вышестоящим главным распорядителям и главным администраторам доходов и источников финансирования дефицита бюджета в установленные ими сроки, что соответствует пункту 10 Инструкции 191н;</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 xml:space="preserve">- 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w:t>
      </w:r>
      <w:r w:rsidRPr="00A66DF1">
        <w:rPr>
          <w:rFonts w:ascii="Tahoma" w:eastAsia="Times New Roman" w:hAnsi="Tahoma" w:cs="Tahoma"/>
          <w:color w:val="000000"/>
          <w:sz w:val="28"/>
          <w:szCs w:val="28"/>
          <w:lang w:eastAsia="ru-RU"/>
        </w:rPr>
        <w:lastRenderedPageBreak/>
        <w:t>соответствующих разделов отчета, составили Отчет об исполнении бюджета и представили ее финансовому органу.</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ходе проведения внешней проверки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представленного главным администратором бюджетных средств:</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 утвержденные бюджетные назначения, указанные в Отчете главного администратора бюджетных средств соответствуют показателям утвержденного бюджета (с учетом изменений), и (или) показателям сводной бюджетной росписи;</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 исполнение бюджетных назначений, указанные в Отчете главного администратора бюджетных средств,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подтверждено:</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справками о перечислении поступлений в бюджеты, представленными Управлением Федерального казначейства по Свердловской области Финансовому управлению Администрации Полевского городского округа;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отчетами о состоянии лицевого счета получателей средств местного бюджета, представленными Финансовым управлением Администрации Полевского городского округа;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отчетом по поступлениям и выбытиям на 01 января 2018 года, представленным Управлением федерального казначейства по Свердловской области.</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ходе проведения внешней проверки недостатки составления бюджетной отчетности установлены в бюджетной отчетности главного администратора бюджетных средств органа местного самоуправления Управление культурой Полевского городского округа:</w:t>
      </w:r>
    </w:p>
    <w:p w:rsidR="00A66DF1" w:rsidRPr="00A66DF1" w:rsidRDefault="00A66DF1" w:rsidP="00A66DF1">
      <w:pPr>
        <w:spacing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 в нарушение п. 55 Инструкции 191н в графе 4 Отчета об исполнении бюджета (ф. 0503127) не отражены соответственно по разделам отчета </w:t>
      </w:r>
      <w:hyperlink r:id="rId5" w:history="1">
        <w:r w:rsidRPr="00A66DF1">
          <w:rPr>
            <w:rFonts w:ascii="Times New Roman" w:eastAsia="Times New Roman" w:hAnsi="Times New Roman" w:cs="Times New Roman"/>
            <w:sz w:val="28"/>
            <w:szCs w:val="28"/>
            <w:lang w:eastAsia="ru-RU"/>
          </w:rPr>
          <w:t>"Доходы бюджета"</w:t>
        </w:r>
      </w:hyperlink>
      <w:r w:rsidRPr="00A66DF1">
        <w:rPr>
          <w:rFonts w:ascii="Times New Roman" w:eastAsia="Times New Roman" w:hAnsi="Times New Roman" w:cs="Times New Roman"/>
          <w:color w:val="000000"/>
          <w:sz w:val="28"/>
          <w:szCs w:val="28"/>
          <w:lang w:eastAsia="ru-RU"/>
        </w:rPr>
        <w:t>, </w:t>
      </w:r>
      <w:hyperlink r:id="rId6" w:history="1">
        <w:r w:rsidRPr="00A66DF1">
          <w:rPr>
            <w:rFonts w:ascii="Times New Roman" w:eastAsia="Times New Roman" w:hAnsi="Times New Roman" w:cs="Times New Roman"/>
            <w:sz w:val="28"/>
            <w:szCs w:val="28"/>
            <w:lang w:eastAsia="ru-RU"/>
          </w:rPr>
          <w:t>"Расходы бюджета"</w:t>
        </w:r>
      </w:hyperlink>
      <w:r w:rsidRPr="00A66DF1">
        <w:rPr>
          <w:rFonts w:ascii="Times New Roman" w:eastAsia="Times New Roman" w:hAnsi="Times New Roman" w:cs="Times New Roman"/>
          <w:color w:val="000000"/>
          <w:sz w:val="28"/>
          <w:szCs w:val="28"/>
          <w:lang w:eastAsia="ru-RU"/>
        </w:rPr>
        <w:t>, "</w:t>
      </w:r>
      <w:hyperlink r:id="rId7" w:history="1">
        <w:r w:rsidRPr="00A66DF1">
          <w:rPr>
            <w:rFonts w:ascii="Times New Roman" w:eastAsia="Times New Roman" w:hAnsi="Times New Roman" w:cs="Times New Roman"/>
            <w:sz w:val="28"/>
            <w:szCs w:val="28"/>
            <w:lang w:eastAsia="ru-RU"/>
          </w:rPr>
          <w:t>Источники</w:t>
        </w:r>
      </w:hyperlink>
      <w:r w:rsidRPr="00A66DF1">
        <w:rPr>
          <w:rFonts w:ascii="Times New Roman" w:eastAsia="Times New Roman" w:hAnsi="Times New Roman" w:cs="Times New Roman"/>
          <w:color w:val="000000"/>
          <w:sz w:val="28"/>
          <w:szCs w:val="28"/>
          <w:lang w:eastAsia="ru-RU"/>
        </w:rPr>
        <w:t xml:space="preserve"> финансирования дефицита бюджета" годовые объемы утвержденных решением о бюджете на </w:t>
      </w:r>
      <w:r w:rsidRPr="00A66DF1">
        <w:rPr>
          <w:rFonts w:ascii="Times New Roman" w:eastAsia="Times New Roman" w:hAnsi="Times New Roman" w:cs="Times New Roman"/>
          <w:color w:val="000000"/>
          <w:sz w:val="28"/>
          <w:szCs w:val="28"/>
          <w:lang w:eastAsia="ru-RU"/>
        </w:rPr>
        <w:lastRenderedPageBreak/>
        <w:t>отчетный финансовый год бюджетных назначений по расходам, плановых (прогнозных) показателей по доходам, источникам финансирования дефицита бюджета.</w:t>
      </w:r>
    </w:p>
    <w:p w:rsidR="00A66DF1" w:rsidRPr="00A66DF1" w:rsidRDefault="00A66DF1" w:rsidP="00A66DF1">
      <w:pPr>
        <w:spacing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 в нарушение п. 163 Инструкции 191н Сведения об исполнении бюджета (ф.0503164) не содержит числовые значения утвержденных бюджетных назначений по разделам отчета </w:t>
      </w:r>
      <w:hyperlink r:id="rId8" w:history="1">
        <w:r w:rsidRPr="00A66DF1">
          <w:rPr>
            <w:rFonts w:ascii="Times New Roman" w:eastAsia="Times New Roman" w:hAnsi="Times New Roman" w:cs="Times New Roman"/>
            <w:sz w:val="28"/>
            <w:szCs w:val="28"/>
            <w:lang w:eastAsia="ru-RU"/>
          </w:rPr>
          <w:t>"Доходы бюджета"</w:t>
        </w:r>
      </w:hyperlink>
      <w:r w:rsidRPr="00A66DF1">
        <w:rPr>
          <w:rFonts w:ascii="Times New Roman" w:eastAsia="Times New Roman" w:hAnsi="Times New Roman" w:cs="Times New Roman"/>
          <w:color w:val="000000"/>
          <w:sz w:val="28"/>
          <w:szCs w:val="28"/>
          <w:lang w:eastAsia="ru-RU"/>
        </w:rPr>
        <w:t>, </w:t>
      </w:r>
      <w:hyperlink r:id="rId9" w:history="1">
        <w:r w:rsidRPr="00A66DF1">
          <w:rPr>
            <w:rFonts w:ascii="Times New Roman" w:eastAsia="Times New Roman" w:hAnsi="Times New Roman" w:cs="Times New Roman"/>
            <w:sz w:val="28"/>
            <w:szCs w:val="28"/>
            <w:lang w:eastAsia="ru-RU"/>
          </w:rPr>
          <w:t>"Расходы бюджета"</w:t>
        </w:r>
      </w:hyperlink>
      <w:r w:rsidRPr="00A66DF1">
        <w:rPr>
          <w:rFonts w:ascii="Times New Roman" w:eastAsia="Times New Roman" w:hAnsi="Times New Roman" w:cs="Times New Roman"/>
          <w:color w:val="000000"/>
          <w:sz w:val="28"/>
          <w:szCs w:val="28"/>
          <w:lang w:eastAsia="ru-RU"/>
        </w:rPr>
        <w:t>, "</w:t>
      </w:r>
      <w:hyperlink r:id="rId10" w:history="1">
        <w:r w:rsidRPr="00A66DF1">
          <w:rPr>
            <w:rFonts w:ascii="Times New Roman" w:eastAsia="Times New Roman" w:hAnsi="Times New Roman" w:cs="Times New Roman"/>
            <w:sz w:val="28"/>
            <w:szCs w:val="28"/>
            <w:lang w:eastAsia="ru-RU"/>
          </w:rPr>
          <w:t>Источники</w:t>
        </w:r>
      </w:hyperlink>
      <w:r w:rsidRPr="00A66DF1">
        <w:rPr>
          <w:rFonts w:ascii="Times New Roman" w:eastAsia="Times New Roman" w:hAnsi="Times New Roman" w:cs="Times New Roman"/>
          <w:color w:val="000000"/>
          <w:sz w:val="28"/>
          <w:szCs w:val="28"/>
          <w:lang w:eastAsia="ru-RU"/>
        </w:rPr>
        <w:t> финансирования дефицита бюджета".</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 в нарушение п. 162 Инструкции 191н в Сведения об изменениях бюджетной росписи главного распорядителя бюджетных средств (ф.0503163) по графам «Утверждено на год законом (решением) о бюджете», «Утверждено на год бюджетной росписью с учетом изменений на отчетную дату» и «Разница между показателями бюджетной росписи и закона (решения) о бюджете» включены показатели по коду главы 908 без разделов, подразделов расходов бюджета Бюджетной классификации РФ, что привело к искажению показателей по строке «Итого».</w:t>
      </w:r>
    </w:p>
    <w:p w:rsidR="00A66DF1" w:rsidRPr="00A66DF1" w:rsidRDefault="00A66DF1" w:rsidP="00A66DF1">
      <w:pPr>
        <w:spacing w:before="195" w:after="0" w:line="240" w:lineRule="auto"/>
        <w:ind w:firstLine="540"/>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 текстовая часть Пояснительной записки (ф.0503160) содержит недостоверные данные о годовом плановом объеме расходов и кассовом исполнении расходов бюджета ОМС Управление культурой ПГО за 2018 год.</w:t>
      </w:r>
    </w:p>
    <w:p w:rsidR="00A66DF1" w:rsidRPr="00A66DF1" w:rsidRDefault="00A66DF1" w:rsidP="00A66DF1">
      <w:pPr>
        <w:spacing w:before="195" w:after="0" w:line="240" w:lineRule="auto"/>
        <w:ind w:firstLine="567"/>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Информативность показателей форм бюджетной отчетности, приложений и таблиц Пояснительной записки не позволила оценить бюджетную деятельность ОМС Управление культурой ПГО за 2018 год.</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Достоверные формы Отчета об исполнении бюджета (ф. 0503127), Сведения об исполнении бюджета (ф.0503164) и Сведения об изменениях бюджетной росписи главного распорядителя бюджетных средств (ф.0503163) ОМС Управление культурой ПГО за 2018 год представлены в Счетную палату Полевского городского округа 04.04.2019 года.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Таким образом, в ходе внешней проверки установлено, что бюджетная отчетность главных администраторов бюджетных средств в основном сформирована исходя из правил, установленных Инструкцией № 191н, 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 части «установленных бюджетных назначений» и «исполнено – итого».</w:t>
      </w:r>
    </w:p>
    <w:p w:rsidR="00A66DF1" w:rsidRPr="00A66DF1" w:rsidRDefault="00A66DF1" w:rsidP="00A66DF1">
      <w:pPr>
        <w:spacing w:before="195" w:after="0" w:line="368" w:lineRule="atLeast"/>
        <w:ind w:firstLine="720"/>
        <w:jc w:val="both"/>
        <w:rPr>
          <w:rFonts w:ascii="Tahoma" w:eastAsia="Times New Roman" w:hAnsi="Tahoma" w:cs="Tahoma"/>
          <w:color w:val="000000"/>
          <w:sz w:val="21"/>
          <w:szCs w:val="21"/>
          <w:lang w:eastAsia="ru-RU"/>
        </w:rPr>
      </w:pPr>
      <w:r w:rsidRPr="00A66DF1">
        <w:rPr>
          <w:rFonts w:ascii="Tahoma" w:eastAsia="Times New Roman" w:hAnsi="Tahoma" w:cs="Tahoma"/>
          <w:b/>
          <w:bCs/>
          <w:color w:val="000000"/>
          <w:sz w:val="28"/>
          <w:szCs w:val="28"/>
          <w:lang w:eastAsia="ru-RU"/>
        </w:rPr>
        <w:t>9.</w:t>
      </w:r>
      <w:r w:rsidRPr="00A66DF1">
        <w:rPr>
          <w:rFonts w:ascii="Tahoma" w:eastAsia="Times New Roman" w:hAnsi="Tahoma" w:cs="Tahoma"/>
          <w:color w:val="000000"/>
          <w:sz w:val="28"/>
          <w:szCs w:val="28"/>
          <w:lang w:eastAsia="ru-RU"/>
        </w:rPr>
        <w:t xml:space="preserve">По результатам проверки Счетной палатой составлены акты от 01.04.2019 № 3, от 01.04.2019 № 4, от 02.04.2019 года № 5, от </w:t>
      </w:r>
      <w:r w:rsidRPr="00A66DF1">
        <w:rPr>
          <w:rFonts w:ascii="Tahoma" w:eastAsia="Times New Roman" w:hAnsi="Tahoma" w:cs="Tahoma"/>
          <w:color w:val="000000"/>
          <w:sz w:val="28"/>
          <w:szCs w:val="28"/>
          <w:lang w:eastAsia="ru-RU"/>
        </w:rPr>
        <w:lastRenderedPageBreak/>
        <w:t>02.04.2019 № 6, от 03.04.2019 № 7, от 03.04.2019 № 8, от 04.04.2019 № 9.</w:t>
      </w:r>
    </w:p>
    <w:p w:rsidR="00A66DF1" w:rsidRPr="00A66DF1" w:rsidRDefault="00A66DF1" w:rsidP="00A66DF1">
      <w:pPr>
        <w:spacing w:before="195" w:after="0" w:line="368" w:lineRule="atLeast"/>
        <w:ind w:firstLine="700"/>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статьей 18 Положения о Счетной палате Полевского городского округа, утвержденного решением Думы Полевского городского округа от 15.12.2011 года № 436, поступили пояснения к акту № 3 от 01.04.2019 по результатам внешней проверки органа местного самоуправления Управление культурой Полевского городского округа, которые приобщены к материалам проверки.</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t>10. Выводы:</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Бюджетная отчетность главных администраторов бюджетных средств Полевского городского округа составлена и представлена в полном в соответствии с нормативным требованиям составления и представления бюджетной отчетности, установленными статьей 264.1 Бюджетного кодекса РФ и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Плановые показатели, отраженные в годовой бюджетной отчетности за 2018 год соответствуют показателям, утвержденным решением Думы Полевского городского округа от 12.12.2017 № 45 «О бюджете Полевского городского округа на 2018 год и плановый период 2019 и 2020 годов» и сводной бюджетной росписи на 2018 год с учетом изменений, внесенных в ходе исполнения бюджета.</w:t>
      </w:r>
    </w:p>
    <w:p w:rsidR="00A66DF1" w:rsidRPr="00A66DF1" w:rsidRDefault="00A66DF1" w:rsidP="00A66DF1">
      <w:pPr>
        <w:spacing w:before="195" w:after="0" w:line="368" w:lineRule="atLeast"/>
        <w:ind w:firstLine="709"/>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b/>
          <w:bCs/>
          <w:color w:val="000000"/>
          <w:sz w:val="28"/>
          <w:szCs w:val="28"/>
          <w:lang w:eastAsia="ru-RU"/>
        </w:rPr>
        <w:lastRenderedPageBreak/>
        <w:t>11. Предложения (рекомендации):</w:t>
      </w:r>
    </w:p>
    <w:p w:rsidR="00A66DF1" w:rsidRPr="00A66DF1" w:rsidRDefault="00A66DF1" w:rsidP="00A66DF1">
      <w:pPr>
        <w:spacing w:before="195" w:after="0" w:line="240" w:lineRule="auto"/>
        <w:ind w:firstLine="709"/>
        <w:jc w:val="both"/>
        <w:rPr>
          <w:rFonts w:ascii="Tahoma" w:eastAsia="Times New Roman" w:hAnsi="Tahoma" w:cs="Tahoma"/>
          <w:color w:val="000000"/>
          <w:sz w:val="21"/>
          <w:szCs w:val="21"/>
          <w:lang w:eastAsia="ru-RU"/>
        </w:rPr>
      </w:pPr>
      <w:r w:rsidRPr="00A66DF1">
        <w:rPr>
          <w:rFonts w:ascii="Times New Roman" w:eastAsia="Times New Roman" w:hAnsi="Times New Roman" w:cs="Times New Roman"/>
          <w:color w:val="000000"/>
          <w:sz w:val="28"/>
          <w:szCs w:val="28"/>
          <w:lang w:eastAsia="ru-RU"/>
        </w:rPr>
        <w:t>Направить представление начальнику органа местного самоуправления Управление культурой Полевского городского округа с предложением принять меры по предупреждению нарушений требований к составлению и представлению бюджетной отчетности.</w:t>
      </w:r>
    </w:p>
    <w:p w:rsidR="00A66DF1" w:rsidRPr="00A66DF1" w:rsidRDefault="00A66DF1" w:rsidP="00A66DF1">
      <w:pPr>
        <w:spacing w:before="195" w:after="0" w:line="368" w:lineRule="atLeast"/>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Инспектор Счетной палаты</w:t>
      </w:r>
    </w:p>
    <w:p w:rsidR="00A66DF1" w:rsidRPr="00A66DF1" w:rsidRDefault="00A66DF1" w:rsidP="00A66DF1">
      <w:pPr>
        <w:spacing w:before="195" w:after="0" w:line="368" w:lineRule="atLeast"/>
        <w:jc w:val="both"/>
        <w:rPr>
          <w:rFonts w:ascii="Tahoma" w:eastAsia="Times New Roman" w:hAnsi="Tahoma" w:cs="Tahoma"/>
          <w:color w:val="000000"/>
          <w:sz w:val="21"/>
          <w:szCs w:val="21"/>
          <w:lang w:eastAsia="ru-RU"/>
        </w:rPr>
      </w:pPr>
      <w:r w:rsidRPr="00A66DF1">
        <w:rPr>
          <w:rFonts w:ascii="Tahoma" w:eastAsia="Times New Roman" w:hAnsi="Tahoma" w:cs="Tahoma"/>
          <w:color w:val="000000"/>
          <w:sz w:val="28"/>
          <w:szCs w:val="28"/>
          <w:lang w:eastAsia="ru-RU"/>
        </w:rPr>
        <w:t>Полевского городского округа                                                               А.А. Кетова</w:t>
      </w:r>
    </w:p>
    <w:p w:rsidR="0030442F" w:rsidRDefault="0030442F">
      <w:bookmarkStart w:id="0" w:name="_GoBack"/>
      <w:bookmarkEnd w:id="0"/>
    </w:p>
    <w:sectPr w:rsidR="00304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F68"/>
    <w:rsid w:val="0030442F"/>
    <w:rsid w:val="00A66DF1"/>
    <w:rsid w:val="00C4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6D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6DF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6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6DF1"/>
    <w:rPr>
      <w:b/>
      <w:bCs/>
    </w:rPr>
  </w:style>
  <w:style w:type="character" w:styleId="a5">
    <w:name w:val="Emphasis"/>
    <w:basedOn w:val="a0"/>
    <w:uiPriority w:val="20"/>
    <w:qFormat/>
    <w:rsid w:val="00A66DF1"/>
    <w:rPr>
      <w:i/>
      <w:iCs/>
    </w:rPr>
  </w:style>
  <w:style w:type="character" w:styleId="a6">
    <w:name w:val="Hyperlink"/>
    <w:basedOn w:val="a0"/>
    <w:uiPriority w:val="99"/>
    <w:semiHidden/>
    <w:unhideWhenUsed/>
    <w:rsid w:val="00A66D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6D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6DF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6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6DF1"/>
    <w:rPr>
      <w:b/>
      <w:bCs/>
    </w:rPr>
  </w:style>
  <w:style w:type="character" w:styleId="a5">
    <w:name w:val="Emphasis"/>
    <w:basedOn w:val="a0"/>
    <w:uiPriority w:val="20"/>
    <w:qFormat/>
    <w:rsid w:val="00A66DF1"/>
    <w:rPr>
      <w:i/>
      <w:iCs/>
    </w:rPr>
  </w:style>
  <w:style w:type="character" w:styleId="a6">
    <w:name w:val="Hyperlink"/>
    <w:basedOn w:val="a0"/>
    <w:uiPriority w:val="99"/>
    <w:semiHidden/>
    <w:unhideWhenUsed/>
    <w:rsid w:val="00A66D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287177">
      <w:bodyDiv w:val="1"/>
      <w:marLeft w:val="0"/>
      <w:marRight w:val="0"/>
      <w:marTop w:val="0"/>
      <w:marBottom w:val="0"/>
      <w:divBdr>
        <w:top w:val="none" w:sz="0" w:space="0" w:color="auto"/>
        <w:left w:val="none" w:sz="0" w:space="0" w:color="auto"/>
        <w:bottom w:val="none" w:sz="0" w:space="0" w:color="auto"/>
        <w:right w:val="none" w:sz="0" w:space="0" w:color="auto"/>
      </w:divBdr>
      <w:divsChild>
        <w:div w:id="168061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7C06440FED85915ECC09F42B6B779BF31B8361BC07D49A10109D6CA59F54AA25785333E5330608D4041FBD551A37415683BE64AE67B6C4iET0K" TargetMode="External"/><Relationship Id="rId3" Type="http://schemas.openxmlformats.org/officeDocument/2006/relationships/settings" Target="settings.xml"/><Relationship Id="rId7" Type="http://schemas.openxmlformats.org/officeDocument/2006/relationships/hyperlink" Target="consultantplus://offline/ref=617C06440FED85915ECC09F42B6B779BF31B8361BC07D49A10109D6CA59F54AA25785333E5330609D1041FBD551A37415683BE64AE67B6C4iET0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17C06440FED85915ECC09F42B6B779BF31B8361BC07D49A10109D6CA59F54AA25785333E5330608D2041FBD551A37415683BE64AE67B6C4iET0K" TargetMode="External"/><Relationship Id="rId11" Type="http://schemas.openxmlformats.org/officeDocument/2006/relationships/fontTable" Target="fontTable.xml"/><Relationship Id="rId5" Type="http://schemas.openxmlformats.org/officeDocument/2006/relationships/hyperlink" Target="consultantplus://offline/ref=617C06440FED85915ECC09F42B6B779BF31B8361BC07D49A10109D6CA59F54AA25785333E5330608D4041FBD551A37415683BE64AE67B6C4iET0K" TargetMode="External"/><Relationship Id="rId10" Type="http://schemas.openxmlformats.org/officeDocument/2006/relationships/hyperlink" Target="consultantplus://offline/ref=617C06440FED85915ECC09F42B6B779BF31B8361BC07D49A10109D6CA59F54AA25785333E5330609D1041FBD551A37415683BE64AE67B6C4iET0K" TargetMode="External"/><Relationship Id="rId4" Type="http://schemas.openxmlformats.org/officeDocument/2006/relationships/webSettings" Target="webSettings.xml"/><Relationship Id="rId9" Type="http://schemas.openxmlformats.org/officeDocument/2006/relationships/hyperlink" Target="consultantplus://offline/ref=617C06440FED85915ECC09F42B6B779BF31B8361BC07D49A10109D6CA59F54AA25785333E5330608D2041FBD551A37415683BE64AE67B6C4iET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2310</Words>
  <Characters>13170</Characters>
  <Application>Microsoft Office Word</Application>
  <DocSecurity>0</DocSecurity>
  <Lines>109</Lines>
  <Paragraphs>30</Paragraphs>
  <ScaleCrop>false</ScaleCrop>
  <Company/>
  <LinksUpToDate>false</LinksUpToDate>
  <CharactersWithSpaces>15450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2026-03-21T16:22:00Z</dcterms:created>
  <dcterms:modified xsi:type="dcterms:W3CDTF">2026-03-21T16:22:00Z</dcterms:modified>
</cp:coreProperties>
</file>