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832" w:rsidRPr="00860B76" w:rsidRDefault="007A4832" w:rsidP="007A483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ЗАКЛЮЧЕНИЕ</w:t>
      </w:r>
    </w:p>
    <w:p w:rsidR="007A4832" w:rsidRPr="00860B76" w:rsidRDefault="007A4832" w:rsidP="007A483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Счетной палаты на проект решения Думы Полевского </w:t>
      </w:r>
      <w:r w:rsidR="0020750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муниципальн</w:t>
      </w: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ого округа «О согласовании введения дополнительных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штатных единиц работников</w:t>
      </w: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в муниципальное казенное учреждение «Центр социально-коммунальных услуг» Полевского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муниципально</w:t>
      </w: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го округа» </w:t>
      </w:r>
    </w:p>
    <w:p w:rsidR="007A4832" w:rsidRPr="00860B76" w:rsidRDefault="007A4832" w:rsidP="007A4832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A4832" w:rsidRPr="00860B76" w:rsidRDefault="007A4832" w:rsidP="007A48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мая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г. Полевской</w:t>
      </w:r>
    </w:p>
    <w:p w:rsidR="002A4A18" w:rsidRDefault="002A4A18" w:rsidP="007A48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A4832" w:rsidRPr="00860B76" w:rsidRDefault="007A4832" w:rsidP="007A48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(с изменениями)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на основании пункта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2.6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раздела 2 плана работы Счетной палаты на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год, распоряжения председателя Счетной палаты от </w:t>
      </w:r>
      <w:r w:rsidRP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207500" w:rsidRP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.0</w:t>
      </w:r>
      <w:r w:rsidR="00207500" w:rsidRP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19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Счетной палатой проведена экспертиза проекта решения Думы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 «О согласовании</w:t>
      </w:r>
      <w:proofErr w:type="gramEnd"/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введения дополнительных </w:t>
      </w:r>
      <w:r w:rsidRP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штатных единиц работников 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муниципальное казенное учреждение «Центр социально-коммунальных услуг»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Свердловской области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», в результате которой установлено следующее</w:t>
      </w:r>
      <w:r w:rsid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(далее – Дума ПМО и МКУ «ЦСКУ»</w:t>
      </w:r>
      <w:r w:rsidR="005675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ПМО</w:t>
      </w:r>
      <w:r w:rsid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7A4832" w:rsidRDefault="007A4832" w:rsidP="007A48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Счетную палату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AF7B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.0</w:t>
      </w:r>
      <w:r w:rsidR="00AF7B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поступил проект решения Думы Полевского </w:t>
      </w:r>
      <w:r w:rsid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 округа «О согласовании введения дополнительных </w:t>
      </w:r>
      <w:r w:rsidRP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штатных единиц работников 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муниципальное казенное учреждение «Центр социально-коммунальных услуг»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Свердловской области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 (далее –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роект решения) письмом директора муниципального казенного учреждения «Центр социально-коммунальных услуг» </w:t>
      </w:r>
      <w:r w:rsidR="00AF7B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Полевского </w:t>
      </w:r>
      <w:r w:rsidR="00E537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="00AF7B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 от 20.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</w:t>
      </w:r>
      <w:r w:rsidR="00AF7B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.2025г. № 3</w:t>
      </w:r>
      <w:r w:rsidR="00AF7B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88:</w:t>
      </w:r>
    </w:p>
    <w:p w:rsidR="007A4832" w:rsidRPr="00C81879" w:rsidRDefault="007A4832" w:rsidP="007A4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Приложением к письму представлены следующие</w:t>
      </w: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документы:</w:t>
      </w:r>
    </w:p>
    <w:p w:rsidR="007A4832" w:rsidRPr="00C81879" w:rsidRDefault="007A4832" w:rsidP="007A4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Проект решения Думы ПМО – </w:t>
      </w:r>
      <w:r w:rsidRPr="00B22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1 листе.</w:t>
      </w:r>
    </w:p>
    <w:p w:rsidR="007A4832" w:rsidRDefault="007A4832" w:rsidP="007A4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Пояснительная записка к проекту решения – </w:t>
      </w:r>
      <w:r w:rsidRPr="00B22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3 листах.</w:t>
      </w:r>
    </w:p>
    <w:p w:rsidR="00AF7B22" w:rsidRDefault="00AF7B22" w:rsidP="007A4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Расчёт фонда оплаты труда МКУ «ЦСКУ» ПМО вновь вводимых ставок (2,75) в период с 01.07.2025 по 31.12.2025.</w:t>
      </w:r>
    </w:p>
    <w:p w:rsidR="00F324B5" w:rsidRDefault="00F324B5" w:rsidP="007A4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AF7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ополнительно поступили материалы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AF7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сопроводительны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F7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22.05.2025г №№ 391 и 393):</w:t>
      </w:r>
    </w:p>
    <w:p w:rsidR="00AF7B22" w:rsidRPr="002A483E" w:rsidRDefault="002A483E" w:rsidP="002A4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F324B5" w:rsidRPr="002A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сумме возникшей экономии и</w:t>
      </w:r>
      <w:r w:rsidR="00AF7B22" w:rsidRPr="002A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 её формирования – на 2 листах;</w:t>
      </w:r>
    </w:p>
    <w:p w:rsidR="00F324B5" w:rsidRPr="002A483E" w:rsidRDefault="00F324B5" w:rsidP="002A483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 согласования – на 1 листе</w:t>
      </w:r>
      <w:r w:rsidR="002A483E" w:rsidRPr="002A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A483E" w:rsidRDefault="002A483E" w:rsidP="002A48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3. </w:t>
      </w:r>
      <w:r w:rsidRPr="002A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Главы ПМО от 13.03.2025 № 256-ПА «Об утверждении Положения об оплате труда работников муниципального казённого учреждения «Центр социально-коммунальных услуг» Полевского муниципального округа Свердловской области – на 1 листе;</w:t>
      </w:r>
    </w:p>
    <w:p w:rsidR="002A483E" w:rsidRPr="002A483E" w:rsidRDefault="002A483E" w:rsidP="002A4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2A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2A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оплате труда работников муниципального казённого учреждения «Центр социально-коммунальных услуг» Полевского муниципального округа Свердловской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на 7 листах.</w:t>
      </w:r>
    </w:p>
    <w:p w:rsidR="002A483E" w:rsidRPr="002A483E" w:rsidRDefault="002A483E" w:rsidP="002A483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7500" w:rsidRDefault="0044346F" w:rsidP="0044346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Проектом решения предлагается согласовать введение дополнительных ставок, которое влечет увеличение численности муниципального казенного учреждения «Центр социально-коммунальных услуг»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ого округа на </w:t>
      </w:r>
      <w:r w:rsidRPr="00B22EB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2,75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штатных единиц на период с </w:t>
      </w:r>
      <w:r w:rsidRP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01.0</w:t>
      </w:r>
      <w:r w:rsid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 w:rsidRP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.2025 по 3</w:t>
      </w:r>
      <w:r w:rsid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 w:rsidRP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 w:rsid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</w:t>
      </w:r>
      <w:r w:rsidRP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.2025</w:t>
      </w:r>
      <w:r w:rsid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 w:rsidR="003342D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Планируемые расходы для введения данных штатных единиц составят 706,39 тыс. руб., расчёт фонда оплаты труда прилагается.</w:t>
      </w:r>
    </w:p>
    <w:p w:rsidR="00207500" w:rsidRDefault="00207500" w:rsidP="0044346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Ранее, 24.04.2025г., Счётной палатой направлялось в </w:t>
      </w:r>
      <w:r w:rsidR="005675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уму ПМО и Главе ПМО Заключение </w:t>
      </w:r>
      <w:r w:rsidRP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 проект решения Думы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</w:t>
      </w:r>
      <w:r w:rsidRPr="002075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 округа «О согласовании введения дополнительных штатных единиц работников в муниципальное казенное учреждение «Центр социально-коммунальных услуг» Полевского муниципального округа»</w:t>
      </w:r>
      <w:r w:rsid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где была высказана рекомендация о п</w:t>
      </w:r>
      <w:r w:rsidR="00B67F5E" w:rsidRP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одтверждени</w:t>
      </w:r>
      <w:r w:rsid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="00B67F5E" w:rsidRP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источника формирования дополнительных доходов </w:t>
      </w:r>
      <w:r w:rsid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B67F5E" w:rsidRP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</w:t>
      </w:r>
      <w:r w:rsid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ии</w:t>
      </w:r>
      <w:r w:rsidR="00B67F5E" w:rsidRP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требованиям п.2 статьи 83  и ст.158 Бюджетного кодекса РФ.</w:t>
      </w:r>
      <w:proofErr w:type="gramEnd"/>
    </w:p>
    <w:p w:rsidR="00B67F5E" w:rsidRDefault="00567576" w:rsidP="0044346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рассматриваемых материалах р</w:t>
      </w:r>
      <w:r w:rsid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екомендация Счётной палаты учтена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части определена источника расходов.</w:t>
      </w:r>
    </w:p>
    <w:p w:rsidR="0044346F" w:rsidRDefault="0044346F" w:rsidP="0044346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Согласно пояснительной записке к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роекту решения основанием для увеличения численности муниципального казенного учреждения «Центр социально-коммунальных услуг» Полевского городского округа </w:t>
      </w:r>
      <w:r w:rsid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2,75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штатных единиц является необходимость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поддержани</w:t>
      </w:r>
      <w:r w:rsidR="005675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объектов недвижимости, преданных </w:t>
      </w:r>
      <w:r w:rsid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марте </w:t>
      </w:r>
      <w:r w:rsidRP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2025</w:t>
      </w:r>
      <w:r w:rsidR="00B67F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в оперативное управление  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«ЦСКУ» П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(два нежилых здания, расположенных по адресам: ул. Володарского – 72 и ул. Розы Люксембург – 20), в надлежащем состоянии и осуществлении контроля их безопасной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эксплуатацией.</w:t>
      </w:r>
      <w:proofErr w:type="gramEnd"/>
    </w:p>
    <w:p w:rsidR="0044346F" w:rsidRDefault="0044346F" w:rsidP="0044346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Для обеспечения эксплуатации указанных зданий в 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«ЦСКУ» П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предлагается ввести следующие штатные ставки:</w:t>
      </w:r>
    </w:p>
    <w:p w:rsidR="0044346F" w:rsidRDefault="0044346F" w:rsidP="0044346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Инспектор– 1 шт. ед.;</w:t>
      </w:r>
    </w:p>
    <w:p w:rsidR="0044346F" w:rsidRDefault="0044346F" w:rsidP="0044346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Уборщик служебных помещений – 0,75 шт. ед.;</w:t>
      </w:r>
    </w:p>
    <w:p w:rsidR="0044346F" w:rsidRDefault="009D5429" w:rsidP="00B67F5E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44346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Рабочий по комплексному обслуживанию и ремонту зданий – 1 шт.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346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ед.</w:t>
      </w:r>
    </w:p>
    <w:p w:rsidR="0044346F" w:rsidRDefault="0044346F" w:rsidP="004434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Данные работники продолжат выполнять ряд функций, направленных на поддержание объектов вышеуказанной недвижимости. Как то, техническое обслуживание оборудования и систем в зданиях, контроль безопасности зданий, содержание зданий с соблюдением соответствующих стандартов и нормативов.</w:t>
      </w:r>
    </w:p>
    <w:p w:rsidR="0044346F" w:rsidRDefault="0044346F" w:rsidP="0044346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D61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момент подготовки Заключения штатная численность МКУ «ЦСКУ» ПМО составляет шестьдесят шесть человек (на основании Пояснительной записки за подписью директора учреждения).</w:t>
      </w:r>
    </w:p>
    <w:p w:rsidR="0044346F" w:rsidRDefault="0044346F" w:rsidP="0044346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соответствии с пунктом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22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решения Думы Полевского городского округа от 12.12.20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24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305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«О бюджете Полевского городского округа на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годов» органы местного самоуправления Полевского городского округа, казенные учреждения не вправе принимать решения по увеличению численности работников 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муниципальных учреждений без согласования с Думой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округа.</w:t>
      </w:r>
      <w:proofErr w:type="gramEnd"/>
    </w:p>
    <w:p w:rsidR="0044346F" w:rsidRPr="000161EF" w:rsidRDefault="0044346F" w:rsidP="0044346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соответствии со статьей 6 Бюджетного кодекса Российской Федерации государственные (муниципальные) казенные учреждения создаются для оказания государственных (муниципальных) услуг, выполнения работ и (или) исполнения государственных (муниципальных) функций в целях обеспечения реализации предусмотренных законодательством Российской Федерации полномочий органов государственной власти (государственных органов) или органов местного самоуправления.</w:t>
      </w:r>
    </w:p>
    <w:p w:rsidR="00567576" w:rsidRDefault="0044346F" w:rsidP="0044346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Казенное учреждение вправе осуществлять виды деятельности соответствующие целям, которые предусмотрены ее учредительными документами. Основной деятельностью казенного учреждения признается деятельность, непосредственно направленная на достижение целей, ради которых оно создано. </w:t>
      </w:r>
    </w:p>
    <w:p w:rsidR="0044346F" w:rsidRPr="000161EF" w:rsidRDefault="0044346F" w:rsidP="0044346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Исчерпывающий перечень видов деятельности, которые казенное учреждение может осуществлять в соответствии с целями его создания, определяется учредительным документом учреждения (п. 1 ст. 24 Федерального закона от 12 января 1996 г. N 7-ФЗ "О некоммерческих организациях".</w:t>
      </w:r>
      <w:proofErr w:type="gramEnd"/>
    </w:p>
    <w:p w:rsidR="0044346F" w:rsidRPr="000161EF" w:rsidRDefault="0044346F" w:rsidP="0044346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Согласно Устава</w:t>
      </w:r>
      <w:proofErr w:type="gramEnd"/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МКУ «ЦСКУ» П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О, утвержденного постановлением Администрации Полевского городского округа </w:t>
      </w:r>
      <w:r w:rsidRPr="00CD3E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09.12.2024 № 1343-ПА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целями деятельности учреждения</w:t>
      </w:r>
      <w:r w:rsidR="0088259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в том числе,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являются:</w:t>
      </w:r>
    </w:p>
    <w:p w:rsidR="0044346F" w:rsidRDefault="0044346F" w:rsidP="0044346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организационное и материально-техническое обеспечение деятельности органов местного самоуправления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округа.</w:t>
      </w:r>
    </w:p>
    <w:p w:rsidR="009D5429" w:rsidRDefault="009D5429" w:rsidP="009D5429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соответствии с п.2 статьи 83 Бюджетного кодекса РФ увеличение бюджетных ассигнований на исполнение существующих видов расходных обязательств может осуществляться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и (или)</w:t>
      </w:r>
      <w:r w:rsidRPr="00E32BD8">
        <w:t xml:space="preserve"> </w:t>
      </w:r>
      <w:r w:rsidRP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сокращении бюджетных ассигнований по отдельным статьям расходов бюджета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850FFB" w:rsidRDefault="009D5429" w:rsidP="00334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Решением Думы ПМО от 01.04.2025 № 341 </w:t>
      </w:r>
      <w:r w:rsidR="00850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изменений и дополнений в решение Думы Полевского муниципального округа </w:t>
      </w:r>
      <w:r w:rsidR="00850FFB" w:rsidRPr="00850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12.12.2024 № 305 «О бюджете Полевского городского округа на 2025 год и плановый период 2026 и 2027 годов»</w:t>
      </w:r>
      <w:r w:rsidR="00850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50FFB" w:rsidRPr="00850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7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обеспечения деятельности МКУ «ЦСКУ»</w:t>
      </w:r>
      <w:bookmarkStart w:id="0" w:name="_GoBack"/>
      <w:bookmarkEnd w:id="0"/>
      <w:r w:rsidR="00567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ПМО </w:t>
      </w:r>
      <w:r w:rsidR="006B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дополнительно была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выделена сумма  </w:t>
      </w:r>
      <w:r w:rsidR="00334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2 750,06700 тыс. руб.</w:t>
      </w:r>
    </w:p>
    <w:p w:rsidR="003342D0" w:rsidRDefault="00850FFB" w:rsidP="00334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Данная сумма отражена </w:t>
      </w:r>
      <w:r w:rsidR="00334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34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342D0" w:rsidRPr="00334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 на </w:t>
      </w:r>
      <w:r w:rsidR="003342D0" w:rsidRPr="00334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«Жилищно-коммунальное хозяйство» - «Другие вопросы в области жилищно-коммунального хозяйства» (ГРБС 901, раздел 05, подраздел 05, целевая статья 0750022500)</w:t>
      </w:r>
      <w:r w:rsidR="00334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42D0" w:rsidRDefault="003342D0" w:rsidP="00334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4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Расходы на заработную плату работников,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ранее </w:t>
      </w:r>
      <w:r w:rsidRPr="00334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заявленной штатной численности (2,75 штатные единицы)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34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4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период с 01.05.2025г. по 30.06.2025г.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34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отражены по виду расходов 110 - «Расходы на выплату</w:t>
      </w:r>
      <w:r w:rsidR="00997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сумме 739,776 тыс. руб.</w:t>
      </w:r>
    </w:p>
    <w:p w:rsidR="00997FC4" w:rsidRDefault="00997FC4" w:rsidP="00334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хозяйственной деятельности МКУ ЦСКУ ПМО (после заключения контрактов и </w:t>
      </w:r>
      <w:r w:rsidR="00850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работы по подбору персонала на обслуживание объектов </w:t>
      </w:r>
      <w:r w:rsidR="00850FFB" w:rsidRPr="00850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расположенных по адресам: ул. Володарского – 72 и ул. Розы Люксембург –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образовалась экономия бюджетных средств, которая и определена как источник финансирования </w:t>
      </w:r>
      <w:r w:rsidR="00DA2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работников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требующи</w:t>
      </w:r>
      <w:r w:rsidR="00DA2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штатны</w:t>
      </w:r>
      <w:r w:rsidR="00DA2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единиц</w:t>
      </w:r>
      <w:r w:rsidR="00DA2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сумме 706,39041 тыс. руб.</w:t>
      </w:r>
      <w:r w:rsidR="00DA2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A23CA" w:rsidRDefault="00850FFB" w:rsidP="00334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850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Таблице №1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представлено р</w:t>
      </w:r>
      <w:r w:rsidR="00DA2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аспределение экономии бюджетных 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A2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A23CA" w:rsidRDefault="00DA23CA" w:rsidP="00DA23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 (тыс. руб.)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1843"/>
        <w:gridCol w:w="2126"/>
        <w:gridCol w:w="1808"/>
      </w:tblGrid>
      <w:tr w:rsidR="00DA23CA" w:rsidTr="00DA23CA">
        <w:tc>
          <w:tcPr>
            <w:tcW w:w="3686" w:type="dxa"/>
          </w:tcPr>
          <w:p w:rsidR="00DA23CA" w:rsidRPr="00DA23CA" w:rsidRDefault="00DA23CA" w:rsidP="00DA23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2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</w:tcPr>
          <w:p w:rsidR="00DA23CA" w:rsidRPr="00DA23CA" w:rsidRDefault="00DA23CA" w:rsidP="00DA23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2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126" w:type="dxa"/>
          </w:tcPr>
          <w:p w:rsidR="00DA23CA" w:rsidRPr="00DA23CA" w:rsidRDefault="00DA23CA" w:rsidP="00DA23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2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 расходы</w:t>
            </w:r>
          </w:p>
        </w:tc>
        <w:tc>
          <w:tcPr>
            <w:tcW w:w="1808" w:type="dxa"/>
          </w:tcPr>
          <w:p w:rsidR="00DA23CA" w:rsidRPr="00DA23CA" w:rsidRDefault="00DA23CA" w:rsidP="00DA23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2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Экономия</w:t>
            </w:r>
          </w:p>
        </w:tc>
      </w:tr>
      <w:tr w:rsidR="00DA23CA" w:rsidTr="00DA23CA">
        <w:tc>
          <w:tcPr>
            <w:tcW w:w="3686" w:type="dxa"/>
          </w:tcPr>
          <w:p w:rsidR="00DA23CA" w:rsidRPr="00DA23CA" w:rsidRDefault="00DA23CA" w:rsidP="00DA23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Заработная плата с начислениями</w:t>
            </w:r>
          </w:p>
        </w:tc>
        <w:tc>
          <w:tcPr>
            <w:tcW w:w="1843" w:type="dxa"/>
          </w:tcPr>
          <w:p w:rsidR="00DA23CA" w:rsidRPr="00DA23CA" w:rsidRDefault="00DA23CA" w:rsidP="00DA23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739,77600</w:t>
            </w:r>
          </w:p>
        </w:tc>
        <w:tc>
          <w:tcPr>
            <w:tcW w:w="2126" w:type="dxa"/>
          </w:tcPr>
          <w:p w:rsidR="00DA23CA" w:rsidRPr="00DA23CA" w:rsidRDefault="00DA23CA" w:rsidP="00DA23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635 511,90</w:t>
            </w:r>
          </w:p>
        </w:tc>
        <w:tc>
          <w:tcPr>
            <w:tcW w:w="1808" w:type="dxa"/>
          </w:tcPr>
          <w:p w:rsidR="00DA23CA" w:rsidRPr="00DA23CA" w:rsidRDefault="00DA23CA" w:rsidP="00DA23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104,26410</w:t>
            </w:r>
          </w:p>
        </w:tc>
      </w:tr>
      <w:tr w:rsidR="00DA23CA" w:rsidTr="001E457D">
        <w:tc>
          <w:tcPr>
            <w:tcW w:w="3686" w:type="dxa"/>
          </w:tcPr>
          <w:p w:rsidR="00DA23CA" w:rsidRPr="00DA23CA" w:rsidRDefault="00DA23CA" w:rsidP="00DA23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Коммунальные услуги, в том числе эл. энергия, ГВС, ХВС,</w:t>
            </w:r>
            <w:r w:rsidR="001E45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водоотведение, плата за негативное воздействие на природу</w:t>
            </w:r>
          </w:p>
        </w:tc>
        <w:tc>
          <w:tcPr>
            <w:tcW w:w="1843" w:type="dxa"/>
            <w:vAlign w:val="center"/>
          </w:tcPr>
          <w:p w:rsidR="00DA23CA" w:rsidRPr="00DA23CA" w:rsidRDefault="001E457D" w:rsidP="001E45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1 260,0540</w:t>
            </w:r>
          </w:p>
        </w:tc>
        <w:tc>
          <w:tcPr>
            <w:tcW w:w="2126" w:type="dxa"/>
            <w:vAlign w:val="center"/>
          </w:tcPr>
          <w:p w:rsidR="00DA23CA" w:rsidRPr="00DA23CA" w:rsidRDefault="001E457D" w:rsidP="001E45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903,20404</w:t>
            </w:r>
          </w:p>
        </w:tc>
        <w:tc>
          <w:tcPr>
            <w:tcW w:w="1808" w:type="dxa"/>
            <w:vAlign w:val="center"/>
          </w:tcPr>
          <w:p w:rsidR="00DA23CA" w:rsidRPr="00DA23CA" w:rsidRDefault="001E457D" w:rsidP="001E45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356,84996</w:t>
            </w:r>
          </w:p>
        </w:tc>
      </w:tr>
      <w:tr w:rsidR="00DA23CA" w:rsidTr="001E457D">
        <w:tc>
          <w:tcPr>
            <w:tcW w:w="3686" w:type="dxa"/>
          </w:tcPr>
          <w:p w:rsidR="00DA23CA" w:rsidRPr="00DA23CA" w:rsidRDefault="001E457D" w:rsidP="00DA23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технического обслуживания пожарно-охранной сигнализации</w:t>
            </w:r>
          </w:p>
        </w:tc>
        <w:tc>
          <w:tcPr>
            <w:tcW w:w="1843" w:type="dxa"/>
            <w:vAlign w:val="center"/>
          </w:tcPr>
          <w:p w:rsidR="00DA23CA" w:rsidRPr="00DA23CA" w:rsidRDefault="001E457D" w:rsidP="001E45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69,3000</w:t>
            </w:r>
          </w:p>
        </w:tc>
        <w:tc>
          <w:tcPr>
            <w:tcW w:w="2126" w:type="dxa"/>
            <w:vAlign w:val="center"/>
          </w:tcPr>
          <w:p w:rsidR="00DA23CA" w:rsidRPr="00DA23CA" w:rsidRDefault="001E457D" w:rsidP="001E45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46,3050</w:t>
            </w:r>
          </w:p>
        </w:tc>
        <w:tc>
          <w:tcPr>
            <w:tcW w:w="1808" w:type="dxa"/>
            <w:vAlign w:val="center"/>
          </w:tcPr>
          <w:p w:rsidR="00DA23CA" w:rsidRPr="00DA23CA" w:rsidRDefault="001E457D" w:rsidP="001E45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22,9950</w:t>
            </w:r>
          </w:p>
        </w:tc>
      </w:tr>
      <w:tr w:rsidR="001E457D" w:rsidTr="0045304D">
        <w:tc>
          <w:tcPr>
            <w:tcW w:w="3686" w:type="dxa"/>
          </w:tcPr>
          <w:p w:rsidR="001E457D" w:rsidRPr="00DA23CA" w:rsidRDefault="001E457D" w:rsidP="00DA23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пожарно-охранной сигнализации</w:t>
            </w:r>
          </w:p>
        </w:tc>
        <w:tc>
          <w:tcPr>
            <w:tcW w:w="1843" w:type="dxa"/>
            <w:vAlign w:val="center"/>
          </w:tcPr>
          <w:p w:rsidR="001E457D" w:rsidRPr="00DA23CA" w:rsidRDefault="001E457D" w:rsidP="00AB0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204,2060</w:t>
            </w:r>
          </w:p>
        </w:tc>
        <w:tc>
          <w:tcPr>
            <w:tcW w:w="2126" w:type="dxa"/>
            <w:vAlign w:val="center"/>
          </w:tcPr>
          <w:p w:rsidR="001E457D" w:rsidRPr="00DA23CA" w:rsidRDefault="001E457D" w:rsidP="00AB0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155,75565</w:t>
            </w:r>
          </w:p>
        </w:tc>
        <w:tc>
          <w:tcPr>
            <w:tcW w:w="1808" w:type="dxa"/>
            <w:vAlign w:val="center"/>
          </w:tcPr>
          <w:p w:rsidR="001E457D" w:rsidRPr="00DA23CA" w:rsidRDefault="001E457D" w:rsidP="00AB0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48,45035</w:t>
            </w:r>
          </w:p>
        </w:tc>
      </w:tr>
      <w:tr w:rsidR="001E457D" w:rsidTr="00DA23CA">
        <w:tc>
          <w:tcPr>
            <w:tcW w:w="3686" w:type="dxa"/>
          </w:tcPr>
          <w:p w:rsidR="001E457D" w:rsidRPr="00DA23CA" w:rsidRDefault="001E457D" w:rsidP="00AB0A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843" w:type="dxa"/>
          </w:tcPr>
          <w:p w:rsidR="001E457D" w:rsidRPr="00DA23CA" w:rsidRDefault="001E457D" w:rsidP="00AB0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233,8310</w:t>
            </w:r>
          </w:p>
        </w:tc>
        <w:tc>
          <w:tcPr>
            <w:tcW w:w="2126" w:type="dxa"/>
          </w:tcPr>
          <w:p w:rsidR="001E457D" w:rsidRPr="00DA23CA" w:rsidRDefault="001E457D" w:rsidP="00AB0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60,000</w:t>
            </w:r>
          </w:p>
        </w:tc>
        <w:tc>
          <w:tcPr>
            <w:tcW w:w="1808" w:type="dxa"/>
          </w:tcPr>
          <w:p w:rsidR="001E457D" w:rsidRPr="00DA23CA" w:rsidRDefault="001E457D" w:rsidP="00AB0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173,8310</w:t>
            </w:r>
          </w:p>
        </w:tc>
      </w:tr>
      <w:tr w:rsidR="001E457D" w:rsidTr="00DA23CA">
        <w:tc>
          <w:tcPr>
            <w:tcW w:w="3686" w:type="dxa"/>
          </w:tcPr>
          <w:p w:rsidR="001E457D" w:rsidRPr="00882592" w:rsidRDefault="00882592" w:rsidP="00DA23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825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843" w:type="dxa"/>
          </w:tcPr>
          <w:p w:rsidR="001E457D" w:rsidRPr="00882592" w:rsidRDefault="00882592" w:rsidP="00DA23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825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2 507,1670</w:t>
            </w:r>
          </w:p>
        </w:tc>
        <w:tc>
          <w:tcPr>
            <w:tcW w:w="2126" w:type="dxa"/>
          </w:tcPr>
          <w:p w:rsidR="001E457D" w:rsidRPr="00882592" w:rsidRDefault="00882592" w:rsidP="00DA23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825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1 775,06207</w:t>
            </w:r>
          </w:p>
        </w:tc>
        <w:tc>
          <w:tcPr>
            <w:tcW w:w="1808" w:type="dxa"/>
          </w:tcPr>
          <w:p w:rsidR="001E457D" w:rsidRPr="00882592" w:rsidRDefault="00882592" w:rsidP="00DA23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825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706,39041</w:t>
            </w:r>
          </w:p>
        </w:tc>
      </w:tr>
    </w:tbl>
    <w:p w:rsidR="00DA23CA" w:rsidRDefault="00DA23CA" w:rsidP="00DA23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23CA" w:rsidRDefault="00DA23CA" w:rsidP="00DA23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Выводы:</w:t>
      </w:r>
    </w:p>
    <w:p w:rsidR="003342D0" w:rsidRDefault="00850FFB" w:rsidP="007A4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Принимая во внимание, что источник финансирования дополнительно заявляемы</w:t>
      </w:r>
      <w:r w:rsidR="0042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МКУ ЦСКУ ПМО </w:t>
      </w:r>
      <w:r w:rsidR="0042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штатных ставок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определен,</w:t>
      </w:r>
      <w:r w:rsidR="0042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 округа имеет финансовую возможность реализовать предлагаем</w:t>
      </w:r>
      <w:r w:rsidR="00C70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42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0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</w:t>
      </w:r>
      <w:r w:rsidR="0042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</w:t>
      </w:r>
      <w:r w:rsidR="00C70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42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Думы П</w:t>
      </w:r>
      <w:r w:rsidR="00C70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олевского муниципального округа</w:t>
      </w:r>
      <w:r w:rsidR="0042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23CA" w:rsidRDefault="00427FE6" w:rsidP="007A4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Подтверждение источника формирования дополнительных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расходов</w:t>
      </w:r>
      <w:r w:rsidRPr="0042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соответствует требованиям п.2 статьи 83  и ст.158 Бюджетного кодекса РФ.</w:t>
      </w:r>
    </w:p>
    <w:p w:rsidR="00DA23CA" w:rsidRPr="00DA23CA" w:rsidRDefault="005E00A2" w:rsidP="005E00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DA23CA" w:rsidRPr="00DA2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Замечания финансово-экономического характера к проекту решения отсутствуют.</w:t>
      </w:r>
    </w:p>
    <w:p w:rsidR="00DA23CA" w:rsidRPr="00DA23CA" w:rsidRDefault="00DA23CA" w:rsidP="00DA23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23CA" w:rsidRPr="00DA23CA" w:rsidRDefault="00DA23CA" w:rsidP="00DA23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23CA" w:rsidRPr="00DA23CA" w:rsidRDefault="00DA23CA" w:rsidP="00DA23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23CA" w:rsidRPr="00DA23CA" w:rsidRDefault="00DA23CA" w:rsidP="00DA23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Счетной палаты </w:t>
      </w:r>
    </w:p>
    <w:p w:rsidR="00DA23CA" w:rsidRDefault="00DA23CA" w:rsidP="00DA23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Полевского муниципального округа                                           Э.Б. Селецкий</w:t>
      </w:r>
    </w:p>
    <w:sectPr w:rsidR="00DA23CA" w:rsidSect="00060F18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62B" w:rsidRDefault="006B662B" w:rsidP="00060F18">
      <w:pPr>
        <w:spacing w:after="0" w:line="240" w:lineRule="auto"/>
      </w:pPr>
      <w:r>
        <w:separator/>
      </w:r>
    </w:p>
  </w:endnote>
  <w:endnote w:type="continuationSeparator" w:id="0">
    <w:p w:rsidR="006B662B" w:rsidRDefault="006B662B" w:rsidP="00060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498180"/>
      <w:docPartObj>
        <w:docPartGallery w:val="Page Numbers (Bottom of Page)"/>
        <w:docPartUnique/>
      </w:docPartObj>
    </w:sdtPr>
    <w:sdtEndPr/>
    <w:sdtContent>
      <w:p w:rsidR="00060F18" w:rsidRDefault="00060F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576">
          <w:rPr>
            <w:noProof/>
          </w:rPr>
          <w:t>4</w:t>
        </w:r>
        <w:r>
          <w:fldChar w:fldCharType="end"/>
        </w:r>
      </w:p>
    </w:sdtContent>
  </w:sdt>
  <w:p w:rsidR="00060F18" w:rsidRDefault="00060F1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62B" w:rsidRDefault="006B662B" w:rsidP="00060F18">
      <w:pPr>
        <w:spacing w:after="0" w:line="240" w:lineRule="auto"/>
      </w:pPr>
      <w:r>
        <w:separator/>
      </w:r>
    </w:p>
  </w:footnote>
  <w:footnote w:type="continuationSeparator" w:id="0">
    <w:p w:rsidR="006B662B" w:rsidRDefault="006B662B" w:rsidP="00060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21F5C"/>
    <w:multiLevelType w:val="hybridMultilevel"/>
    <w:tmpl w:val="72CC9B8C"/>
    <w:lvl w:ilvl="0" w:tplc="366E6DA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0438E0"/>
    <w:multiLevelType w:val="hybridMultilevel"/>
    <w:tmpl w:val="5C246D4C"/>
    <w:lvl w:ilvl="0" w:tplc="C324E6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D7F4F6C"/>
    <w:multiLevelType w:val="hybridMultilevel"/>
    <w:tmpl w:val="08F64246"/>
    <w:lvl w:ilvl="0" w:tplc="ED8A8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B2F"/>
    <w:rsid w:val="00047BE0"/>
    <w:rsid w:val="00060F18"/>
    <w:rsid w:val="000A7C64"/>
    <w:rsid w:val="00131615"/>
    <w:rsid w:val="001A79F0"/>
    <w:rsid w:val="001B1271"/>
    <w:rsid w:val="001E457D"/>
    <w:rsid w:val="00207500"/>
    <w:rsid w:val="002A483E"/>
    <w:rsid w:val="002A4A18"/>
    <w:rsid w:val="003342D0"/>
    <w:rsid w:val="00427FE6"/>
    <w:rsid w:val="0044346F"/>
    <w:rsid w:val="00567576"/>
    <w:rsid w:val="00590AEF"/>
    <w:rsid w:val="005E00A2"/>
    <w:rsid w:val="00631B2F"/>
    <w:rsid w:val="006B0F3A"/>
    <w:rsid w:val="006B662B"/>
    <w:rsid w:val="007A4832"/>
    <w:rsid w:val="00850FFB"/>
    <w:rsid w:val="00882592"/>
    <w:rsid w:val="00997FC4"/>
    <w:rsid w:val="009D5429"/>
    <w:rsid w:val="00AF7B22"/>
    <w:rsid w:val="00B67F5E"/>
    <w:rsid w:val="00C7056A"/>
    <w:rsid w:val="00DA23CA"/>
    <w:rsid w:val="00E537B1"/>
    <w:rsid w:val="00F3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4B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0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0F18"/>
  </w:style>
  <w:style w:type="paragraph" w:styleId="a6">
    <w:name w:val="footer"/>
    <w:basedOn w:val="a"/>
    <w:link w:val="a7"/>
    <w:uiPriority w:val="99"/>
    <w:unhideWhenUsed/>
    <w:rsid w:val="00060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0F18"/>
  </w:style>
  <w:style w:type="table" w:styleId="a8">
    <w:name w:val="Table Grid"/>
    <w:basedOn w:val="a1"/>
    <w:uiPriority w:val="59"/>
    <w:rsid w:val="00DA2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4B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0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0F18"/>
  </w:style>
  <w:style w:type="paragraph" w:styleId="a6">
    <w:name w:val="footer"/>
    <w:basedOn w:val="a"/>
    <w:link w:val="a7"/>
    <w:uiPriority w:val="99"/>
    <w:unhideWhenUsed/>
    <w:rsid w:val="00060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0F18"/>
  </w:style>
  <w:style w:type="table" w:styleId="a8">
    <w:name w:val="Table Grid"/>
    <w:basedOn w:val="a1"/>
    <w:uiPriority w:val="59"/>
    <w:rsid w:val="00DA2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4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17</cp:revision>
  <dcterms:created xsi:type="dcterms:W3CDTF">2025-05-24T08:37:00Z</dcterms:created>
  <dcterms:modified xsi:type="dcterms:W3CDTF">2025-05-26T10:13:00Z</dcterms:modified>
</cp:coreProperties>
</file>