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664" w:rsidRPr="00A44BE8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СЧЕТНАЯ ПАЛАТА ПОЛЕВСКОГО ГОРОДСКОГО ОКРУГА __________________________________________________________________</w:t>
      </w:r>
    </w:p>
    <w:p w:rsidR="003E1664" w:rsidRPr="00A44BE8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1664" w:rsidRPr="00A44BE8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</w:t>
      </w:r>
    </w:p>
    <w:p w:rsidR="003E1664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ОСНОВНЫХ ИТОГАХ </w:t>
      </w:r>
      <w:r w:rsidR="005511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ЭКСПЕРТНО-АНАЛИТИЧЕСКОГО </w:t>
      </w:r>
      <w:r w:rsidRPr="00A44B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МЕРОПРИЯТИЯ</w:t>
      </w:r>
    </w:p>
    <w:p w:rsidR="007A7586" w:rsidRPr="00A44BE8" w:rsidRDefault="007A7586" w:rsidP="003E16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1664" w:rsidRPr="00A44BE8" w:rsidRDefault="003E1664" w:rsidP="003E1664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A7586" w:rsidRDefault="007A7586" w:rsidP="007A7586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«</w:t>
      </w:r>
      <w:r w:rsidR="00917A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29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917A11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декабря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2023 г.                                                   </w:t>
      </w:r>
      <w:r w:rsidR="002A73F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ab/>
      </w:r>
      <w:r w:rsidR="002A73F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ab/>
      </w:r>
      <w:r w:rsidR="002A73F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г. Полевской</w:t>
      </w:r>
    </w:p>
    <w:p w:rsidR="007A7586" w:rsidRDefault="007A7586" w:rsidP="007A7586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7A7586" w:rsidRDefault="007A7586" w:rsidP="003E166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3E1664" w:rsidRDefault="003E1664" w:rsidP="003E166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A4DB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Счетной палатой Полевского городского округа в соответствии с 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пунктом 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раздела 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II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>лана работы Счетной палаты Полевского городского округа на 202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год, утвержденного распоряжением Счетной палаты Полевского городского округа от 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>.12.202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 </w:t>
      </w:r>
      <w:r w:rsidR="005511CF">
        <w:rPr>
          <w:rFonts w:ascii="Times New Roman" w:eastAsia="Calibri" w:hAnsi="Times New Roman" w:cs="Times New Roman"/>
          <w:color w:val="000000"/>
          <w:sz w:val="28"/>
          <w:szCs w:val="28"/>
        </w:rPr>
        <w:t>68 (с изменениями)</w:t>
      </w:r>
      <w:r w:rsidRPr="008A4DBD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8A4DBD">
        <w:rPr>
          <w:rFonts w:ascii="Times New Roman" w:eastAsia="Calibri" w:hAnsi="Times New Roman" w:cs="Times New Roman"/>
          <w:sz w:val="28"/>
          <w:szCs w:val="28"/>
        </w:rPr>
        <w:t xml:space="preserve"> распоряжения Счетной палаты от </w:t>
      </w:r>
      <w:r w:rsidR="005511CF">
        <w:rPr>
          <w:rFonts w:ascii="Times New Roman" w:eastAsia="Calibri" w:hAnsi="Times New Roman" w:cs="Times New Roman"/>
          <w:sz w:val="28"/>
          <w:szCs w:val="28"/>
        </w:rPr>
        <w:t>17</w:t>
      </w:r>
      <w:r w:rsidRPr="008A4DBD">
        <w:rPr>
          <w:rFonts w:ascii="Times New Roman" w:eastAsia="Calibri" w:hAnsi="Times New Roman" w:cs="Times New Roman"/>
          <w:sz w:val="28"/>
          <w:szCs w:val="28"/>
        </w:rPr>
        <w:t>.</w:t>
      </w:r>
      <w:r w:rsidR="005511CF">
        <w:rPr>
          <w:rFonts w:ascii="Times New Roman" w:eastAsia="Calibri" w:hAnsi="Times New Roman" w:cs="Times New Roman"/>
          <w:sz w:val="28"/>
          <w:szCs w:val="28"/>
        </w:rPr>
        <w:t>10</w:t>
      </w:r>
      <w:r w:rsidRPr="008A4DBD">
        <w:rPr>
          <w:rFonts w:ascii="Times New Roman" w:eastAsia="Calibri" w:hAnsi="Times New Roman" w:cs="Times New Roman"/>
          <w:sz w:val="28"/>
          <w:szCs w:val="28"/>
        </w:rPr>
        <w:t>.202</w:t>
      </w:r>
      <w:r w:rsidR="005511CF">
        <w:rPr>
          <w:rFonts w:ascii="Times New Roman" w:eastAsia="Calibri" w:hAnsi="Times New Roman" w:cs="Times New Roman"/>
          <w:sz w:val="28"/>
          <w:szCs w:val="28"/>
        </w:rPr>
        <w:t>3</w:t>
      </w:r>
      <w:r w:rsidRPr="008A4DBD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5511CF">
        <w:rPr>
          <w:rFonts w:ascii="Times New Roman" w:eastAsia="Calibri" w:hAnsi="Times New Roman" w:cs="Times New Roman"/>
          <w:sz w:val="28"/>
          <w:szCs w:val="28"/>
        </w:rPr>
        <w:t>47</w:t>
      </w:r>
      <w:r w:rsidRPr="008A4D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11CF">
        <w:rPr>
          <w:rFonts w:ascii="Times New Roman" w:eastAsia="Calibri" w:hAnsi="Times New Roman" w:cs="Times New Roman"/>
          <w:sz w:val="28"/>
          <w:szCs w:val="28"/>
        </w:rPr>
        <w:t>«О проведении экспертно-аналитического мероприятия «Аудит в сфере закупок товаров, работ, услуг при реализации в 2022 году муниципальных контрактов (договоров), заключенных</w:t>
      </w:r>
      <w:proofErr w:type="gramEnd"/>
      <w:r w:rsidR="005511CF">
        <w:rPr>
          <w:rFonts w:ascii="Times New Roman" w:eastAsia="Calibri" w:hAnsi="Times New Roman" w:cs="Times New Roman"/>
          <w:sz w:val="28"/>
          <w:szCs w:val="28"/>
        </w:rPr>
        <w:t xml:space="preserve"> муниципальным бюджетным учреждением Полевского городского округа «Центр культуры и народного творчества»</w:t>
      </w:r>
      <w:r w:rsidRPr="008A4DB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4106" w:rsidRPr="00984106" w:rsidRDefault="00984106" w:rsidP="009841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106">
        <w:rPr>
          <w:rFonts w:ascii="Times New Roman" w:eastAsia="Calibri" w:hAnsi="Times New Roman" w:cs="Times New Roman"/>
          <w:sz w:val="28"/>
          <w:szCs w:val="28"/>
        </w:rPr>
        <w:t xml:space="preserve">Предмет мероприятия: процесс использования муниципальным бюджетным учреждением Полевского городского округа «Центр культуры и народного творчества» средств бюджета Полевского городского округа при осуществлении закупок товаров, работ, услуг в соответствии с требованиями законодательства Российской Федерации о контрактной системе в сфере закупок, а также организация и эффективность функционирования контрактной системы в сфере закупок. </w:t>
      </w:r>
    </w:p>
    <w:p w:rsidR="00841985" w:rsidRDefault="00841985" w:rsidP="003E166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</w:p>
    <w:p w:rsidR="003E1664" w:rsidRPr="008A4DBD" w:rsidRDefault="003E1664" w:rsidP="003E166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r w:rsidRPr="008A4DB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Цели </w:t>
      </w:r>
      <w:r w:rsidR="005511CF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э</w:t>
      </w:r>
      <w:r w:rsidR="00984106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кспертно-аналитического</w:t>
      </w:r>
      <w:r w:rsidRPr="008A4DB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мероприятия:</w:t>
      </w:r>
    </w:p>
    <w:p w:rsidR="003E1664" w:rsidRPr="008A4DBD" w:rsidRDefault="003E1664" w:rsidP="003E166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70">
        <w:rPr>
          <w:rFonts w:ascii="Times New Roman" w:hAnsi="Times New Roman" w:cs="Times New Roman"/>
          <w:b/>
          <w:sz w:val="28"/>
          <w:szCs w:val="28"/>
        </w:rPr>
        <w:t>Цель 1</w:t>
      </w:r>
      <w:r w:rsidRPr="008A4DBD">
        <w:rPr>
          <w:rFonts w:ascii="Times New Roman" w:hAnsi="Times New Roman" w:cs="Times New Roman"/>
          <w:sz w:val="28"/>
          <w:szCs w:val="28"/>
        </w:rPr>
        <w:t xml:space="preserve">. </w:t>
      </w:r>
      <w:r w:rsidR="00984106">
        <w:rPr>
          <w:rFonts w:ascii="Times New Roman" w:hAnsi="Times New Roman" w:cs="Times New Roman"/>
          <w:sz w:val="28"/>
          <w:szCs w:val="28"/>
        </w:rPr>
        <w:t>Проанализировать и оценить полноту нормативного обеспечения и эффективность планирования деятельности в сфере закупок.</w:t>
      </w:r>
    </w:p>
    <w:p w:rsidR="00984106" w:rsidRPr="00984106" w:rsidRDefault="00984106" w:rsidP="00984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270">
        <w:rPr>
          <w:rFonts w:ascii="Times New Roman" w:hAnsi="Times New Roman" w:cs="Times New Roman"/>
          <w:b/>
          <w:sz w:val="28"/>
          <w:szCs w:val="28"/>
        </w:rPr>
        <w:t>Цель 2</w:t>
      </w:r>
      <w:r w:rsidRPr="00984106">
        <w:rPr>
          <w:rFonts w:ascii="Times New Roman" w:hAnsi="Times New Roman" w:cs="Times New Roman"/>
          <w:i/>
          <w:sz w:val="28"/>
          <w:szCs w:val="28"/>
        </w:rPr>
        <w:t>.</w:t>
      </w:r>
      <w:r w:rsidRPr="00984106">
        <w:rPr>
          <w:rFonts w:ascii="Times New Roman" w:hAnsi="Times New Roman" w:cs="Times New Roman"/>
          <w:sz w:val="28"/>
          <w:szCs w:val="28"/>
        </w:rPr>
        <w:t xml:space="preserve"> Оценить обоснованность, целесообразность, результативность и своевременность использования субсидий из бюджета Полевского городского округа, выделенных на осуществление закупок в целях выполнения муниципального задания и на иные цели. </w:t>
      </w:r>
    </w:p>
    <w:p w:rsidR="00984106" w:rsidRPr="00984106" w:rsidRDefault="00984106" w:rsidP="00984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270">
        <w:rPr>
          <w:rFonts w:ascii="Times New Roman" w:hAnsi="Times New Roman" w:cs="Times New Roman"/>
          <w:b/>
          <w:sz w:val="28"/>
          <w:szCs w:val="28"/>
        </w:rPr>
        <w:t>Цель 3.</w:t>
      </w:r>
      <w:r w:rsidRPr="00984106">
        <w:rPr>
          <w:rFonts w:ascii="Times New Roman" w:hAnsi="Times New Roman" w:cs="Times New Roman"/>
          <w:sz w:val="28"/>
          <w:szCs w:val="28"/>
        </w:rPr>
        <w:t xml:space="preserve"> Оценить законность и эффективность закупок по реализованным в 2022 году контрактам (договорам). </w:t>
      </w:r>
    </w:p>
    <w:p w:rsidR="00841985" w:rsidRDefault="00841985" w:rsidP="0006027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</w:p>
    <w:p w:rsidR="003E1664" w:rsidRPr="00060270" w:rsidRDefault="003E1664" w:rsidP="00060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B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Объект </w:t>
      </w:r>
      <w:r w:rsidR="00060270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экспертно-аналитического мероприятия: </w:t>
      </w:r>
      <w:r w:rsidR="00060270" w:rsidRPr="000602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муниципальное бюджетное учреждение Полевского городского округа «Центр культуры и народного творчества» (далее – МБУ ПГО «ЦК и НТ»)</w:t>
      </w:r>
      <w:r w:rsidRPr="000602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664" w:rsidRPr="008A4DBD" w:rsidRDefault="003E1664" w:rsidP="003E1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BD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061D6">
        <w:rPr>
          <w:rFonts w:ascii="Times New Roman" w:hAnsi="Times New Roman" w:cs="Times New Roman"/>
          <w:sz w:val="28"/>
          <w:szCs w:val="28"/>
        </w:rPr>
        <w:t xml:space="preserve">экспертно-аналитического </w:t>
      </w:r>
      <w:r w:rsidRPr="008A4DBD">
        <w:rPr>
          <w:rFonts w:ascii="Times New Roman" w:hAnsi="Times New Roman" w:cs="Times New Roman"/>
          <w:sz w:val="28"/>
          <w:szCs w:val="28"/>
        </w:rPr>
        <w:t xml:space="preserve">мероприятия Счетной палатой </w:t>
      </w:r>
      <w:r w:rsidRPr="008A4DBD">
        <w:rPr>
          <w:rFonts w:ascii="Times New Roman" w:eastAsia="BatangChe" w:hAnsi="Times New Roman" w:cs="Times New Roman"/>
          <w:sz w:val="28"/>
          <w:szCs w:val="28"/>
          <w:lang w:eastAsia="ru-RU"/>
        </w:rPr>
        <w:t>Полевского городского округа</w:t>
      </w:r>
      <w:r w:rsidRPr="008A4DBD">
        <w:rPr>
          <w:rFonts w:ascii="Times New Roman" w:hAnsi="Times New Roman" w:cs="Times New Roman"/>
          <w:sz w:val="28"/>
          <w:szCs w:val="28"/>
        </w:rPr>
        <w:t xml:space="preserve"> составлен </w:t>
      </w:r>
      <w:r w:rsidR="00060270">
        <w:rPr>
          <w:rFonts w:ascii="Times New Roman" w:hAnsi="Times New Roman" w:cs="Times New Roman"/>
          <w:sz w:val="28"/>
          <w:szCs w:val="28"/>
        </w:rPr>
        <w:t>отчет от 11</w:t>
      </w:r>
      <w:r w:rsidRPr="008A4DBD">
        <w:rPr>
          <w:rFonts w:ascii="Times New Roman" w:hAnsi="Times New Roman" w:cs="Times New Roman"/>
          <w:sz w:val="28"/>
          <w:szCs w:val="28"/>
        </w:rPr>
        <w:t>.12.202</w:t>
      </w:r>
      <w:r w:rsidR="00060270">
        <w:rPr>
          <w:rFonts w:ascii="Times New Roman" w:hAnsi="Times New Roman" w:cs="Times New Roman"/>
          <w:sz w:val="28"/>
          <w:szCs w:val="28"/>
        </w:rPr>
        <w:t>3</w:t>
      </w:r>
      <w:r w:rsidR="00984E2A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Pr="008A4DBD">
        <w:rPr>
          <w:rFonts w:ascii="Times New Roman" w:hAnsi="Times New Roman" w:cs="Times New Roman"/>
          <w:sz w:val="28"/>
          <w:szCs w:val="28"/>
        </w:rPr>
        <w:t>.</w:t>
      </w:r>
    </w:p>
    <w:p w:rsidR="003E1664" w:rsidRPr="008A4DBD" w:rsidRDefault="003E1664" w:rsidP="003E166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Отчет о результатах </w:t>
      </w:r>
      <w:r w:rsidR="00285EB4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экспертно-аналитического</w:t>
      </w:r>
      <w:r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мероприятия утвержден распоряжением Счетной палаты Полевского городского округа от </w:t>
      </w:r>
      <w:r w:rsidR="00060270">
        <w:rPr>
          <w:rFonts w:ascii="Times New Roman" w:eastAsiaTheme="minorEastAsia" w:hAnsi="Times New Roman" w:cs="Times New Roman"/>
          <w:sz w:val="28"/>
          <w:szCs w:val="28"/>
          <w:lang w:eastAsia="ru-RU"/>
        </w:rPr>
        <w:t>15</w:t>
      </w:r>
      <w:r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85158"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060270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 № </w:t>
      </w:r>
      <w:r w:rsidR="00060270">
        <w:rPr>
          <w:rFonts w:ascii="Times New Roman" w:eastAsiaTheme="minorEastAsia" w:hAnsi="Times New Roman" w:cs="Times New Roman"/>
          <w:sz w:val="28"/>
          <w:szCs w:val="28"/>
          <w:lang w:eastAsia="ru-RU"/>
        </w:rPr>
        <w:t>59</w:t>
      </w:r>
      <w:r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E1664" w:rsidRPr="008A4DBD" w:rsidRDefault="003E1664" w:rsidP="003E166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16"/>
          <w:szCs w:val="16"/>
          <w:u w:val="single"/>
          <w:lang w:eastAsia="ru-RU"/>
        </w:rPr>
      </w:pPr>
    </w:p>
    <w:p w:rsidR="003E1664" w:rsidRPr="008A4DBD" w:rsidRDefault="003E1664" w:rsidP="003E1664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4DB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В результате </w:t>
      </w:r>
      <w:r w:rsidR="008038F0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экспертно-аналитического мероприятия </w:t>
      </w:r>
      <w:r w:rsidR="003D5B7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установлено</w:t>
      </w:r>
      <w:r w:rsidR="008A4DBD" w:rsidRPr="008A4DB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следующее</w:t>
      </w:r>
      <w:r w:rsidRPr="008A4DBD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Во исполнение требований статьи 38 Федерального закона № 44-ФЗ </w:t>
      </w:r>
      <w:r w:rsidR="00F35123">
        <w:rPr>
          <w:rFonts w:ascii="Times New Roman" w:eastAsia="BatangChe" w:hAnsi="Times New Roman"/>
          <w:sz w:val="28"/>
          <w:szCs w:val="28"/>
        </w:rPr>
        <w:t>приказами директора</w:t>
      </w:r>
      <w:r w:rsidRPr="003D5B7D">
        <w:rPr>
          <w:rFonts w:ascii="Times New Roman" w:eastAsia="BatangChe" w:hAnsi="Times New Roman"/>
          <w:sz w:val="28"/>
          <w:szCs w:val="28"/>
        </w:rPr>
        <w:t xml:space="preserve"> МБУ ПГО «ЦК и НТ» </w:t>
      </w:r>
      <w:r w:rsidR="00F35123" w:rsidRPr="003D5B7D">
        <w:rPr>
          <w:rFonts w:ascii="Times New Roman" w:eastAsia="BatangChe" w:hAnsi="Times New Roman"/>
          <w:sz w:val="28"/>
          <w:szCs w:val="28"/>
        </w:rPr>
        <w:t xml:space="preserve">для осуществления закупок товаров, работ, услуг </w:t>
      </w:r>
      <w:r w:rsidRPr="003D5B7D">
        <w:rPr>
          <w:rFonts w:ascii="Times New Roman" w:eastAsia="BatangChe" w:hAnsi="Times New Roman"/>
          <w:sz w:val="28"/>
          <w:szCs w:val="28"/>
        </w:rPr>
        <w:t>назначен контрактный управляющий</w:t>
      </w:r>
      <w:r w:rsidR="00F35123">
        <w:rPr>
          <w:rFonts w:ascii="Times New Roman" w:eastAsia="BatangChe" w:hAnsi="Times New Roman"/>
          <w:sz w:val="28"/>
          <w:szCs w:val="28"/>
        </w:rPr>
        <w:t xml:space="preserve"> и </w:t>
      </w:r>
      <w:r w:rsidRPr="003D5B7D">
        <w:rPr>
          <w:rFonts w:ascii="Times New Roman" w:eastAsia="BatangChe" w:hAnsi="Times New Roman"/>
          <w:sz w:val="28"/>
          <w:szCs w:val="28"/>
        </w:rPr>
        <w:t xml:space="preserve">определены </w:t>
      </w:r>
      <w:r w:rsidR="00F35123">
        <w:rPr>
          <w:rFonts w:ascii="Times New Roman" w:eastAsia="BatangChe" w:hAnsi="Times New Roman"/>
          <w:sz w:val="28"/>
          <w:szCs w:val="28"/>
        </w:rPr>
        <w:t xml:space="preserve">его </w:t>
      </w:r>
      <w:r w:rsidRPr="003D5B7D">
        <w:rPr>
          <w:rFonts w:ascii="Times New Roman" w:eastAsia="BatangChe" w:hAnsi="Times New Roman"/>
          <w:sz w:val="28"/>
          <w:szCs w:val="28"/>
        </w:rPr>
        <w:t>функции и полномочия. Квалификация контрактного управляющего подтверждена удостоверением о повышении квалификации, выданным Государственным автономным учреждением Свердловской области «Областной центр развития трудовых ресурсов и социально-трудовых отношений».</w:t>
      </w:r>
    </w:p>
    <w:p w:rsidR="003D5B7D" w:rsidRPr="003D5B7D" w:rsidRDefault="003D5B7D" w:rsidP="003D5B7D">
      <w:pPr>
        <w:pStyle w:val="a5"/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Нормативное обеспечение МБУ ПГО «ЦК и НТ» в части организации закупочной деятельности соответствует требованиям  контрактного законодательства в сфере закупок товаров, работ, услуг. 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План-график закупок товаров, работ, услуг для обеспечения государственных и муниципальных нужд на 2022 финансовый год и на плановый период 2023 и 2024 годов утвержден </w:t>
      </w:r>
      <w:r w:rsidR="00B551B5" w:rsidRPr="003D5B7D">
        <w:rPr>
          <w:rFonts w:ascii="Times New Roman" w:eastAsia="BatangChe" w:hAnsi="Times New Roman"/>
          <w:sz w:val="28"/>
          <w:szCs w:val="28"/>
        </w:rPr>
        <w:t>МБУ ПГО «ЦК и НТ»</w:t>
      </w:r>
      <w:r w:rsidR="00B551B5">
        <w:rPr>
          <w:rFonts w:ascii="Times New Roman" w:eastAsia="BatangChe" w:hAnsi="Times New Roman"/>
          <w:sz w:val="28"/>
          <w:szCs w:val="28"/>
        </w:rPr>
        <w:t xml:space="preserve"> </w:t>
      </w:r>
      <w:r w:rsidRPr="003D5B7D">
        <w:rPr>
          <w:rFonts w:ascii="Times New Roman" w:eastAsia="BatangChe" w:hAnsi="Times New Roman"/>
          <w:sz w:val="28"/>
          <w:szCs w:val="28"/>
        </w:rPr>
        <w:t xml:space="preserve">и размещен в Единой информационной системе с соблюдением сроков, установленных частью 6 статьи 16 Федерального закона № 44-ФЗ. </w:t>
      </w:r>
    </w:p>
    <w:p w:rsidR="003D5B7D" w:rsidRPr="003D5B7D" w:rsidRDefault="003D5B7D" w:rsidP="003D5B7D">
      <w:pPr>
        <w:pStyle w:val="a5"/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>В нарушении части 9 статьи 16 Федерального закона № 44-ФЗ допущено несвоевременное внесение изменений в план-график закупок, по окончании финансового года, что свидетельствует о неэффективности планирования закупок.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proofErr w:type="gramStart"/>
      <w:r w:rsidRPr="003D5B7D">
        <w:rPr>
          <w:rFonts w:ascii="Times New Roman" w:eastAsia="BatangChe" w:hAnsi="Times New Roman"/>
          <w:sz w:val="28"/>
          <w:szCs w:val="28"/>
        </w:rPr>
        <w:t>Договоры на закупку товаров, работ, услуг заключены МБУ ПГО «ЦК и НТ» во исполнение мероприятий муниципальных программ, Плана финансово-хозяйственной деятельности на 2022 год (на 2022 год и плановый период 2023 и 2024 годов) и утвержденного на его основе плана-графика закупок товаров, работ, услуг на 2022 финансовый год и на плановый период 2023 и 2024 годов.</w:t>
      </w:r>
      <w:proofErr w:type="gramEnd"/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>Конкурентные способы определения (выбора) поставщиков (подрядчиков, исполнителей) в анализируем</w:t>
      </w:r>
      <w:r w:rsidR="00F85BEF">
        <w:rPr>
          <w:rFonts w:ascii="Times New Roman" w:eastAsia="BatangChe" w:hAnsi="Times New Roman"/>
          <w:sz w:val="28"/>
          <w:szCs w:val="28"/>
        </w:rPr>
        <w:t>ом</w:t>
      </w:r>
      <w:r w:rsidRPr="003D5B7D">
        <w:rPr>
          <w:rFonts w:ascii="Times New Roman" w:eastAsia="BatangChe" w:hAnsi="Times New Roman"/>
          <w:sz w:val="28"/>
          <w:szCs w:val="28"/>
        </w:rPr>
        <w:t xml:space="preserve"> период</w:t>
      </w:r>
      <w:r w:rsidR="00F85BEF">
        <w:rPr>
          <w:rFonts w:ascii="Times New Roman" w:eastAsia="BatangChe" w:hAnsi="Times New Roman"/>
          <w:sz w:val="28"/>
          <w:szCs w:val="28"/>
        </w:rPr>
        <w:t>е</w:t>
      </w:r>
      <w:r w:rsidRPr="003D5B7D">
        <w:rPr>
          <w:rFonts w:ascii="Times New Roman" w:eastAsia="BatangChe" w:hAnsi="Times New Roman"/>
          <w:sz w:val="28"/>
          <w:szCs w:val="28"/>
        </w:rPr>
        <w:t xml:space="preserve"> МБУ ПГО «ЦК и НТ» не применялись. Все закупки осуществлялись путем заключения договоров с единственным поставщиком (подрядчиком, исполнителем). 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Анализ предоставленной документации позволил сделать вывод о том, что заданные результаты закупок товаров, выполненных работ, оказанных услуг учреждением достигнуты. Расходы на закупки соответствуют плановым показателям и целям, определенным в Плане финансово-хозяйственной деятельности на 2022 год (на 2022 год и плановый период 2023 и 2024 годов) и в соглашениях о предоставлении субсидий. 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Заключенные МБУ ПГО «ЦК и НТ» договоры реализованы в течение 2022 года в полном объеме в пределах средств, выделенных на закупочную деятельность. Закупка товаров, работ, услуг в 2022 году </w:t>
      </w:r>
      <w:r w:rsidRPr="003D5B7D">
        <w:rPr>
          <w:rFonts w:ascii="Times New Roman" w:eastAsia="BatangChe" w:hAnsi="Times New Roman"/>
          <w:sz w:val="28"/>
          <w:szCs w:val="28"/>
        </w:rPr>
        <w:lastRenderedPageBreak/>
        <w:t xml:space="preserve">осуществлена без экономии средств выделенных субсидии. 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proofErr w:type="gramStart"/>
      <w:r w:rsidRPr="003D5B7D">
        <w:rPr>
          <w:rFonts w:ascii="Times New Roman" w:eastAsia="BatangChe" w:hAnsi="Times New Roman"/>
          <w:sz w:val="28"/>
          <w:szCs w:val="28"/>
        </w:rPr>
        <w:t>Анализ соблюдения порядка определения цены контрактов (договоров), заключенных с единственным поставщиком (подрядчиком, исполнителем) показал, что МБУ ПГО «ЦК и НТ» при применении метода сопоставимых рыночных цен (анализа рынка) ограничивался только одной из процедур, рекомендованных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Федерации от</w:t>
      </w:r>
      <w:proofErr w:type="gramEnd"/>
      <w:r w:rsidRPr="003D5B7D">
        <w:rPr>
          <w:rFonts w:ascii="Times New Roman" w:eastAsia="BatangChe" w:hAnsi="Times New Roman"/>
          <w:sz w:val="28"/>
          <w:szCs w:val="28"/>
        </w:rPr>
        <w:t xml:space="preserve"> 02.10.2013 № 567. В некоторых случаях цена договора, заключаемого с единственным поставщиком (подрядчиком, исполнителем), в нарушени</w:t>
      </w:r>
      <w:r w:rsidR="00F85BEF">
        <w:rPr>
          <w:rFonts w:ascii="Times New Roman" w:eastAsia="BatangChe" w:hAnsi="Times New Roman"/>
          <w:sz w:val="28"/>
          <w:szCs w:val="28"/>
        </w:rPr>
        <w:t>е</w:t>
      </w:r>
      <w:r w:rsidRPr="003D5B7D">
        <w:rPr>
          <w:rFonts w:ascii="Times New Roman" w:eastAsia="BatangChe" w:hAnsi="Times New Roman"/>
          <w:sz w:val="28"/>
          <w:szCs w:val="28"/>
        </w:rPr>
        <w:t xml:space="preserve"> части 1 статьи 22 и части 4 статьи 93 Федерального закона № 44-ФЗ определена без применения</w:t>
      </w:r>
      <w:r w:rsidR="00F85BEF">
        <w:rPr>
          <w:rFonts w:ascii="Times New Roman" w:eastAsia="BatangChe" w:hAnsi="Times New Roman"/>
          <w:sz w:val="28"/>
          <w:szCs w:val="28"/>
        </w:rPr>
        <w:t xml:space="preserve"> установленных </w:t>
      </w:r>
      <w:r w:rsidRPr="003D5B7D">
        <w:rPr>
          <w:rFonts w:ascii="Times New Roman" w:eastAsia="BatangChe" w:hAnsi="Times New Roman"/>
          <w:sz w:val="28"/>
          <w:szCs w:val="28"/>
        </w:rPr>
        <w:t>методов ее определения.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>Более 50% реализованных в 2022 году договоров заключены учреждением на условиях предварительной оплаты товаров, работ, услуг, что имеет потенциальный риск невозврата авансового платежа поставщиками (подрядчиками, исполнителями) в случае неисполнения или ненадлежащего исполнения ими договорных обязательств.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>В нарушении части 2 статьи 34 Федерального закона № 44-ФЗ преобладающая часть договоров из числа проанализированных не содержит обязательного условия о твердости и неизменности цены договора, либо содержит некорректные формулировки о цене договора, предусматривающие возможность ее изменения в случаях, не предусмотренных законодательством о закупках.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>Отдельные договоры не соответствуют требованиям пункта 2 части 13.1 Федерального закона № 44-ФЗ в части установления сроков оплаты поставленного товара, выполненных работ, оказанных услуг.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>Допущенное поставщиками (подрядчиками, исполнителями) неисполнение или ненадлежащее исполнение договорных обязательств повлекло для МБУ ПГО «ЦК и НТ» необходимость заключения договоров на закупку идентичного или однородного товара (работ, услуг) с другими поставщиками (подрядчиками, исполнителями) по более высокой цене, а также увеличило сроки закупки.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За неисполнение и ненадлежащее исполнение договорных обязательств в нарушение части 6 статьи 34 Федерального закона № 44-ФЗ МБУ ПГО «ЦК и НТ» не предъявило поставщикам (подрядчикам, исполнителям) штрафные санкции. Более того, в соглашениях о расторжении таких договоров МБУ ПГО «ЦК и НТ» </w:t>
      </w:r>
      <w:r w:rsidRPr="00663EBA">
        <w:rPr>
          <w:rFonts w:ascii="Times New Roman" w:eastAsia="BatangChe" w:hAnsi="Times New Roman"/>
          <w:sz w:val="28"/>
          <w:szCs w:val="28"/>
        </w:rPr>
        <w:t>отказалось от каких-либо финансовых и иных претензий к стороне договора, не исполнившей</w:t>
      </w:r>
      <w:r w:rsidRPr="003D5B7D">
        <w:rPr>
          <w:rFonts w:ascii="Times New Roman" w:eastAsia="BatangChe" w:hAnsi="Times New Roman"/>
          <w:sz w:val="28"/>
          <w:szCs w:val="28"/>
        </w:rPr>
        <w:t xml:space="preserve"> или ненадлежащим образом исполнившей  принятые обязательства.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В нарушении части 6 статьи 34 Федерального закона № 44-ФЗ МБУ ПГО «ЦК и НТ» не начислялись пени поставщикам (подрядчикам, исполнителям) за нарушение сроков исполнения обязательств. 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lastRenderedPageBreak/>
        <w:t>Выявлены нарушения в части невнесения и/или несвоевременного внесения информации о контрактах (договорах) в Реестр контрактов, заключенных заказчиком (в ЕИС), что является нарушением части 3 статьи 103 Федерального закона № 44-ФЗ.</w:t>
      </w:r>
    </w:p>
    <w:p w:rsidR="003D5B7D" w:rsidRPr="003D5B7D" w:rsidRDefault="003D5B7D" w:rsidP="003D5B7D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eastAsia="BatangChe" w:hAnsi="Times New Roman"/>
          <w:sz w:val="28"/>
          <w:szCs w:val="28"/>
        </w:rPr>
      </w:pPr>
      <w:r w:rsidRPr="003D5B7D">
        <w:rPr>
          <w:rFonts w:ascii="Times New Roman" w:eastAsia="BatangChe" w:hAnsi="Times New Roman"/>
          <w:sz w:val="28"/>
          <w:szCs w:val="28"/>
        </w:rPr>
        <w:t xml:space="preserve">Установлены недостатки в работе МБУ ПГО «ЦК и НТ» в части  включения в договоры формулировок, которые при отсутствии должной осмотрительности могут повлечь нарушение сроков исполнения обязательств. Кроме </w:t>
      </w:r>
      <w:r w:rsidRPr="00F85BEF">
        <w:rPr>
          <w:rFonts w:ascii="Times New Roman" w:eastAsia="BatangChe" w:hAnsi="Times New Roman"/>
          <w:sz w:val="28"/>
          <w:szCs w:val="28"/>
        </w:rPr>
        <w:t>того, выявлено несоответствие в условиях муниципальных контрактов, заключенных</w:t>
      </w:r>
      <w:r w:rsidRPr="003D5B7D">
        <w:rPr>
          <w:rFonts w:ascii="Times New Roman" w:eastAsia="BatangChe" w:hAnsi="Times New Roman"/>
          <w:sz w:val="28"/>
          <w:szCs w:val="28"/>
        </w:rPr>
        <w:t xml:space="preserve"> с ОАО «ПКК», преамбула которых содержит ссылку на основани</w:t>
      </w:r>
      <w:proofErr w:type="gramStart"/>
      <w:r w:rsidRPr="003D5B7D">
        <w:rPr>
          <w:rFonts w:ascii="Times New Roman" w:eastAsia="BatangChe" w:hAnsi="Times New Roman"/>
          <w:sz w:val="28"/>
          <w:szCs w:val="28"/>
        </w:rPr>
        <w:t>е</w:t>
      </w:r>
      <w:proofErr w:type="gramEnd"/>
      <w:r w:rsidRPr="003D5B7D">
        <w:rPr>
          <w:rFonts w:ascii="Times New Roman" w:eastAsia="BatangChe" w:hAnsi="Times New Roman"/>
          <w:sz w:val="28"/>
          <w:szCs w:val="28"/>
        </w:rPr>
        <w:t xml:space="preserve"> их заключения, отсутствующее в плане-графике закупок </w:t>
      </w:r>
      <w:r w:rsidR="00F85BEF" w:rsidRPr="003D5B7D">
        <w:rPr>
          <w:rFonts w:ascii="Times New Roman" w:eastAsia="BatangChe" w:hAnsi="Times New Roman"/>
          <w:sz w:val="28"/>
          <w:szCs w:val="28"/>
        </w:rPr>
        <w:t>МБУ ПГО «ЦК и НТ»</w:t>
      </w:r>
      <w:r w:rsidR="00F85BEF">
        <w:rPr>
          <w:rFonts w:ascii="Times New Roman" w:eastAsia="BatangChe" w:hAnsi="Times New Roman"/>
          <w:sz w:val="28"/>
          <w:szCs w:val="28"/>
        </w:rPr>
        <w:t xml:space="preserve"> </w:t>
      </w:r>
      <w:r w:rsidRPr="003D5B7D">
        <w:rPr>
          <w:rFonts w:ascii="Times New Roman" w:eastAsia="BatangChe" w:hAnsi="Times New Roman"/>
          <w:sz w:val="28"/>
          <w:szCs w:val="28"/>
        </w:rPr>
        <w:t>и требующее внесения информации о контракте в ЕИС. Закупка по основанию, не включенному в план-график, а так же невнесение требуемой информации о контракте в ЕИС несет потенциальный риск привлечения к административной ответственности.</w:t>
      </w:r>
    </w:p>
    <w:p w:rsidR="009E0F2F" w:rsidRPr="008A4DBD" w:rsidRDefault="00841985" w:rsidP="003D5B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984106">
        <w:rPr>
          <w:rFonts w:ascii="Times New Roman" w:eastAsia="Times New Roman" w:hAnsi="Times New Roman" w:cs="Times New Roman"/>
          <w:sz w:val="28"/>
          <w:szCs w:val="28"/>
        </w:rPr>
        <w:t xml:space="preserve">нформация об основных результатах экспертно-аналитического мероприятия направлена Главе Полевского городского округа, в Думу Полевского городского округа, </w:t>
      </w:r>
      <w:r w:rsidR="00060270" w:rsidRPr="00060270">
        <w:rPr>
          <w:rFonts w:ascii="Times New Roman" w:eastAsia="Times New Roman" w:hAnsi="Times New Roman" w:cs="Times New Roman"/>
          <w:sz w:val="28"/>
          <w:szCs w:val="28"/>
        </w:rPr>
        <w:t>начальнику ОМС Управление культурой ПГО</w:t>
      </w:r>
      <w:r w:rsidR="00060270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984106">
        <w:rPr>
          <w:rFonts w:ascii="Times New Roman" w:eastAsia="Times New Roman" w:hAnsi="Times New Roman" w:cs="Times New Roman"/>
          <w:sz w:val="28"/>
          <w:szCs w:val="28"/>
        </w:rPr>
        <w:t>Прокуратуру города Полевского</w:t>
      </w:r>
      <w:r w:rsidR="00060270">
        <w:rPr>
          <w:rFonts w:ascii="Times New Roman" w:eastAsia="Times New Roman" w:hAnsi="Times New Roman" w:cs="Times New Roman"/>
          <w:sz w:val="28"/>
          <w:szCs w:val="28"/>
        </w:rPr>
        <w:t>.</w:t>
      </w:r>
      <w:r w:rsidR="00984106">
        <w:rPr>
          <w:rFonts w:ascii="Times New Roman" w:eastAsia="Times New Roman" w:hAnsi="Times New Roman" w:cs="Times New Roman"/>
          <w:sz w:val="28"/>
          <w:szCs w:val="28"/>
        </w:rPr>
        <w:t xml:space="preserve"> Директору МБУ ПГО «ЦК и НТ» направлено информационное письмо с предложением о принятии мер по предупреждению нарушений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  <w:r w:rsidR="0006027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E0F2F" w:rsidRPr="008A4D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0F2F" w:rsidRDefault="009E0F2F" w:rsidP="003D5B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985" w:rsidRDefault="00841985" w:rsidP="003D5B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985" w:rsidRDefault="00841985" w:rsidP="003D5B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985" w:rsidRDefault="00841985" w:rsidP="0084198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Счетной палаты</w:t>
      </w:r>
    </w:p>
    <w:p w:rsidR="00841985" w:rsidRDefault="00841985" w:rsidP="0084198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Зюзева</w:t>
      </w:r>
      <w:proofErr w:type="spellEnd"/>
    </w:p>
    <w:p w:rsidR="00841985" w:rsidRPr="008A4DBD" w:rsidRDefault="00841985" w:rsidP="003D5B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664" w:rsidRPr="008A4DBD" w:rsidRDefault="003E1664" w:rsidP="003D5B7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664" w:rsidRPr="008A4DBD" w:rsidRDefault="003E1664" w:rsidP="003E16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Счетной палаты </w:t>
      </w:r>
    </w:p>
    <w:p w:rsidR="003E1664" w:rsidRPr="008A4DBD" w:rsidRDefault="003E1664" w:rsidP="003E1664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                      </w:t>
      </w:r>
      <w:r w:rsidR="0084198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A4D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198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4D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1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Гурова</w:t>
      </w:r>
      <w:r w:rsidRPr="008A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3E1664" w:rsidRPr="008A4DBD" w:rsidSect="008A4DB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BC5" w:rsidRDefault="00006BC5">
      <w:pPr>
        <w:spacing w:after="0" w:line="240" w:lineRule="auto"/>
      </w:pPr>
      <w:r>
        <w:separator/>
      </w:r>
    </w:p>
  </w:endnote>
  <w:endnote w:type="continuationSeparator" w:id="0">
    <w:p w:rsidR="00006BC5" w:rsidRDefault="00006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BC5" w:rsidRDefault="00006BC5">
      <w:pPr>
        <w:spacing w:after="0" w:line="240" w:lineRule="auto"/>
      </w:pPr>
      <w:r>
        <w:separator/>
      </w:r>
    </w:p>
  </w:footnote>
  <w:footnote w:type="continuationSeparator" w:id="0">
    <w:p w:rsidR="00006BC5" w:rsidRDefault="00006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208935"/>
      <w:docPartObj>
        <w:docPartGallery w:val="Page Numbers (Top of Page)"/>
        <w:docPartUnique/>
      </w:docPartObj>
    </w:sdtPr>
    <w:sdtEndPr/>
    <w:sdtContent>
      <w:p w:rsidR="008A4DBD" w:rsidRDefault="008A4DB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5E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A4DBD" w:rsidRDefault="008A4D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E5E29"/>
    <w:multiLevelType w:val="hybridMultilevel"/>
    <w:tmpl w:val="4C0AAA14"/>
    <w:lvl w:ilvl="0" w:tplc="374CBAA8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DF2368"/>
    <w:multiLevelType w:val="multilevel"/>
    <w:tmpl w:val="EA6AA26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35C"/>
    <w:rsid w:val="00006BC5"/>
    <w:rsid w:val="00060270"/>
    <w:rsid w:val="0006399A"/>
    <w:rsid w:val="00285EB4"/>
    <w:rsid w:val="002A73F9"/>
    <w:rsid w:val="003D5B7D"/>
    <w:rsid w:val="003E1664"/>
    <w:rsid w:val="005511CF"/>
    <w:rsid w:val="006061D6"/>
    <w:rsid w:val="00663EBA"/>
    <w:rsid w:val="006B08C6"/>
    <w:rsid w:val="007A7586"/>
    <w:rsid w:val="007D37D1"/>
    <w:rsid w:val="008038F0"/>
    <w:rsid w:val="00841985"/>
    <w:rsid w:val="008A3343"/>
    <w:rsid w:val="008A4DBD"/>
    <w:rsid w:val="0090435C"/>
    <w:rsid w:val="00917A11"/>
    <w:rsid w:val="00984106"/>
    <w:rsid w:val="00984E2A"/>
    <w:rsid w:val="00993F14"/>
    <w:rsid w:val="009E0F2F"/>
    <w:rsid w:val="00A00952"/>
    <w:rsid w:val="00A85158"/>
    <w:rsid w:val="00A924AD"/>
    <w:rsid w:val="00B551B5"/>
    <w:rsid w:val="00BD1002"/>
    <w:rsid w:val="00C03BD9"/>
    <w:rsid w:val="00D1426F"/>
    <w:rsid w:val="00E766D9"/>
    <w:rsid w:val="00F35123"/>
    <w:rsid w:val="00F8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1664"/>
  </w:style>
  <w:style w:type="paragraph" w:styleId="a5">
    <w:name w:val="List Paragraph"/>
    <w:basedOn w:val="a"/>
    <w:uiPriority w:val="34"/>
    <w:qFormat/>
    <w:rsid w:val="00A85158"/>
    <w:pPr>
      <w:widowControl w:val="0"/>
      <w:suppressAutoHyphens/>
      <w:spacing w:after="0" w:line="240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6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1664"/>
  </w:style>
  <w:style w:type="paragraph" w:styleId="a5">
    <w:name w:val="List Paragraph"/>
    <w:basedOn w:val="a"/>
    <w:uiPriority w:val="34"/>
    <w:qFormat/>
    <w:rsid w:val="00A85158"/>
    <w:pPr>
      <w:widowControl w:val="0"/>
      <w:suppressAutoHyphens/>
      <w:spacing w:after="0" w:line="240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3DF7-5C1B-4365-B69F-552722F4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14</cp:revision>
  <cp:lastPrinted>2022-12-27T06:25:00Z</cp:lastPrinted>
  <dcterms:created xsi:type="dcterms:W3CDTF">2024-01-19T09:35:00Z</dcterms:created>
  <dcterms:modified xsi:type="dcterms:W3CDTF">2024-01-26T04:06:00Z</dcterms:modified>
</cp:coreProperties>
</file>