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0BA2" w:rsidRPr="00E30BA2" w:rsidRDefault="00E30BA2" w:rsidP="00E30BA2">
      <w:pPr>
        <w:spacing w:before="195" w:after="195" w:line="240" w:lineRule="auto"/>
        <w:jc w:val="center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E30BA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ЗАКЛЮЧЕНИЕ</w:t>
      </w:r>
    </w:p>
    <w:p w:rsidR="00E30BA2" w:rsidRPr="00E30BA2" w:rsidRDefault="00E30BA2" w:rsidP="00E30BA2">
      <w:pPr>
        <w:spacing w:before="195" w:after="195" w:line="240" w:lineRule="auto"/>
        <w:jc w:val="center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E30BA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Счетной палаты на проект решения Думы Полевского городского округа</w:t>
      </w:r>
    </w:p>
    <w:p w:rsidR="00E30BA2" w:rsidRPr="00E30BA2" w:rsidRDefault="00E30BA2" w:rsidP="00E30BA2">
      <w:pPr>
        <w:spacing w:before="195" w:after="195" w:line="240" w:lineRule="auto"/>
        <w:jc w:val="center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E30BA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«О внесении изменений и дополнений в решение Думы Полевского городского округа от 24.12.2012 № 624 «О бюджете Полевского городского округа на 2013 год»</w:t>
      </w:r>
    </w:p>
    <w:p w:rsidR="00E30BA2" w:rsidRPr="00E30BA2" w:rsidRDefault="00E30BA2" w:rsidP="00E30BA2">
      <w:pPr>
        <w:spacing w:before="195" w:after="195" w:line="240" w:lineRule="auto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E30B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19 апреля 2013 года                                                                                            г. Полевской</w:t>
      </w:r>
    </w:p>
    <w:p w:rsidR="00E30BA2" w:rsidRPr="00E30BA2" w:rsidRDefault="00E30BA2" w:rsidP="00E30BA2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E30B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соответствии с требованиями пункта 1 статьи 157 Бюджетного кодекса Российской Федерации (далее – БК РФ), пункта 6 статьи 35 Положения о бюджетном процессе в Полевском городском округе, утвержденного решением Думы Полевского городского округа от 10.02.2009 N 734, статьи 8 Положения о Счетной палате Полевского городского округа, утвержденного решением Думы Полевского городского округа от 15.12.2011 N 436, на основании пункта 6 раздела 2 плана работы Счетной палаты на 2013 год, распоряжения председателя Счетной палаты от  16.04.2013 № 31, Счетной палатой проведена экспертиза проекта решения Думы Полевского городского округа «О внесении изменений и дополнений в решение Думы Полевского городского округа от 24.12.2012 № 624 «О бюджете Полевского городского округа на 2013 год», в результате которой установлено следующее.</w:t>
      </w:r>
    </w:p>
    <w:p w:rsidR="00E30BA2" w:rsidRPr="00E30BA2" w:rsidRDefault="00E30BA2" w:rsidP="00E30BA2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E30B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 Проект решения Думы Полевского городского округа «О внесении изменений и дополнений в решение Думы Полевского городского округа от 24.12.2012 № 624 «О бюджете Полевского городского округа на 2013 год» (далее – проект), поступил в Счетную палату 09.04.2013 с копией обращения Главы Полевского городского округа (от 29.03.2013 № 1408), и листом согласования (проект согласован без замечаний начальником ОМС Управление образованием ПГО, начальником Финансового управления Администрации ПГО,  заместителем Главы Администрации ПГО по экономике и стратегическому развитию, заместителем Главы Администрации ПГО по социальным вопросам и начальником ОМС Управление культурой ПГО).</w:t>
      </w:r>
    </w:p>
    <w:p w:rsidR="00E30BA2" w:rsidRPr="00E30BA2" w:rsidRDefault="00E30BA2" w:rsidP="00E30BA2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E30B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Проект представлен на экспертизу без приложений № 3 и 4 в новой редакции, связи с чем не возможно сравнить суммовые изменения, вносимые в текстовую часть решения о бюджете, и приложения к нему.</w:t>
      </w:r>
    </w:p>
    <w:p w:rsidR="00E30BA2" w:rsidRPr="00E30BA2" w:rsidRDefault="00E30BA2" w:rsidP="00E30BA2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E30B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 проекту отсутствует пояснительная записка, что не соответствует требованиям, установленным п. 3 ст. 35 Положения о бюджетном процессе в Полевском городском округе, тем не менее обращение Главы Полевского городского округа отражает причины предлагаемых к рассмотрению изменений в решение о бюджете по расходам.</w:t>
      </w:r>
    </w:p>
    <w:p w:rsidR="00E30BA2" w:rsidRPr="00E30BA2" w:rsidRDefault="00E30BA2" w:rsidP="00E30BA2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E30B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Передвижение бюджетных ассигнований связано с подготовкой загородного оздоровительного лагеря «Лесная сказка» к летней оздоровительной кампании во исполнение Постановления Главы Полевского городского округа от 29.03.2013 № 785 «</w:t>
      </w:r>
    </w:p>
    <w:tbl>
      <w:tblPr>
        <w:tblW w:w="0" w:type="auto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15"/>
      </w:tblGrid>
      <w:tr w:rsidR="00E30BA2" w:rsidRPr="00E30BA2" w:rsidTr="00E30BA2">
        <w:trPr>
          <w:trHeight w:val="204"/>
        </w:trPr>
        <w:tc>
          <w:tcPr>
            <w:tcW w:w="1200" w:type="dxa"/>
            <w:hideMark/>
          </w:tcPr>
          <w:tbl>
            <w:tblPr>
              <w:tblW w:w="1500" w:type="dxa"/>
              <w:tblInd w:w="15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00"/>
            </w:tblGrid>
            <w:tr w:rsidR="00E30BA2" w:rsidRPr="00E30BA2">
              <w:tc>
                <w:tcPr>
                  <w:tcW w:w="0" w:type="auto"/>
                  <w:vAlign w:val="center"/>
                  <w:hideMark/>
                </w:tcPr>
                <w:p w:rsidR="00E30BA2" w:rsidRPr="00E30BA2" w:rsidRDefault="00E30BA2" w:rsidP="00E30BA2">
                  <w:pPr>
                    <w:spacing w:before="195" w:after="195" w:line="368" w:lineRule="atLeast"/>
                    <w:ind w:firstLine="708"/>
                    <w:jc w:val="both"/>
                    <w:divId w:val="1278832275"/>
                    <w:rPr>
                      <w:rFonts w:ascii="Tahoma" w:eastAsia="Times New Roman" w:hAnsi="Tahoma" w:cs="Tahoma"/>
                      <w:sz w:val="21"/>
                      <w:szCs w:val="21"/>
                      <w:lang w:eastAsia="ru-RU"/>
                    </w:rPr>
                  </w:pPr>
                  <w:r w:rsidRPr="00E30BA2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     </w:t>
                  </w:r>
                </w:p>
              </w:tc>
            </w:tr>
          </w:tbl>
          <w:p w:rsidR="00E30BA2" w:rsidRPr="00E30BA2" w:rsidRDefault="00E30BA2" w:rsidP="00E30BA2">
            <w:pPr>
              <w:spacing w:before="15" w:after="1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30BA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</w:tbl>
    <w:p w:rsidR="00E30BA2" w:rsidRPr="00E30BA2" w:rsidRDefault="00E30BA2" w:rsidP="00E30BA2">
      <w:pPr>
        <w:spacing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E30B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Об организации отдыха, оздоровления и занятости детей и подростков в 2013 году», в том числе на ремонт котла, ремонт обеденного зала столовой в сумме 815,212 тыс. руб. и на организацию питания в сумме 1200,0 тыс.руб.</w:t>
      </w:r>
    </w:p>
    <w:p w:rsidR="00E30BA2" w:rsidRPr="00E30BA2" w:rsidRDefault="00E30BA2" w:rsidP="00E30BA2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E30B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обоснование стоимости ремонтных работ котла и обеденного зала столовой МБУ «Детский оздоровительный лагерь «Лесная сказка» предоставлены локальные сметные расчеты на общую сумму 969 555,0 руб.:</w:t>
      </w:r>
    </w:p>
    <w:p w:rsidR="00E30BA2" w:rsidRPr="00E30BA2" w:rsidRDefault="00E30BA2" w:rsidP="00E30BA2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E30B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на демонтаж и монтаж водогрейного котла в сумме 95 321,0 руб.;</w:t>
      </w:r>
    </w:p>
    <w:p w:rsidR="00E30BA2" w:rsidRPr="00E30BA2" w:rsidRDefault="00E30BA2" w:rsidP="00E30BA2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E30B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на изготовление теплообменника водогрейного котла в сумме 97 876,0 руб.;</w:t>
      </w:r>
    </w:p>
    <w:p w:rsidR="00E30BA2" w:rsidRPr="00E30BA2" w:rsidRDefault="00E30BA2" w:rsidP="00E30BA2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E30B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на текущий ремонт обеденного зала в сумме 272 156,0 руб.;</w:t>
      </w:r>
    </w:p>
    <w:p w:rsidR="00E30BA2" w:rsidRPr="00E30BA2" w:rsidRDefault="00E30BA2" w:rsidP="00E30BA2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E30B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на текущий ремонт столовой в сумме 504 202,0 руб.</w:t>
      </w:r>
    </w:p>
    <w:p w:rsidR="00E30BA2" w:rsidRPr="00E30BA2" w:rsidRDefault="00E30BA2" w:rsidP="00E30BA2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E30B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Согласно предоставленного МБУ «Детский оздоровительный лагерь «Лесная сказка» расчета дополнительной суммы на организацию питания в период летней оздоровительной кампании 2013 года потребность составляет      1 266 942,6 руб.</w:t>
      </w:r>
    </w:p>
    <w:p w:rsidR="00E30BA2" w:rsidRPr="00E30BA2" w:rsidRDefault="00E30BA2" w:rsidP="00E30BA2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E30B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Передвижение бюджетных ассигнований предлагается по подразделу 0707 «Молодежная политика и оздоровление детей» целевой статье 4320100 «Мероприятия по организации оздоровительной кампании  детей» виду расходов 522 «Выполнение мероприятий» с главного распорядителя бюджетных средств ОМС Управление образованием ПГО на главного распорядителя бюджетных средств ОМС Управление культурой ПГО.</w:t>
      </w:r>
    </w:p>
    <w:p w:rsidR="00E30BA2" w:rsidRPr="00E30BA2" w:rsidRDefault="00E30BA2" w:rsidP="00E30BA2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E30B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Детский оздоровительный лагерь «Лесная сказка» является муниципальным бюджетным учреждением.</w:t>
      </w:r>
    </w:p>
    <w:p w:rsidR="00E30BA2" w:rsidRPr="00E30BA2" w:rsidRDefault="00E30BA2" w:rsidP="00E30BA2">
      <w:pPr>
        <w:spacing w:after="0" w:line="240" w:lineRule="auto"/>
        <w:ind w:firstLine="54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E30B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Согласно ст. 69, 69.1, 78.1 Бюджетного кодекса РФ и </w:t>
      </w:r>
      <w:hyperlink r:id="rId5" w:history="1">
        <w:r w:rsidRPr="00E30BA2">
          <w:rPr>
            <w:rFonts w:ascii="Tahoma" w:eastAsia="Times New Roman" w:hAnsi="Tahoma" w:cs="Tahoma"/>
            <w:color w:val="1F7357"/>
            <w:sz w:val="24"/>
            <w:szCs w:val="24"/>
            <w:lang w:eastAsia="ru-RU"/>
          </w:rPr>
          <w:t>ст. 9.2</w:t>
        </w:r>
      </w:hyperlink>
      <w:r w:rsidRPr="00E30BA2">
        <w:rPr>
          <w:rFonts w:ascii="Arial" w:eastAsia="Times New Roman" w:hAnsi="Arial" w:cs="Arial"/>
          <w:sz w:val="24"/>
          <w:szCs w:val="24"/>
          <w:lang w:eastAsia="ru-RU"/>
        </w:rPr>
        <w:t> Федеральный </w:t>
      </w:r>
      <w:hyperlink r:id="rId6" w:history="1">
        <w:r w:rsidRPr="00E30BA2">
          <w:rPr>
            <w:rFonts w:ascii="Tahoma" w:eastAsia="Times New Roman" w:hAnsi="Tahoma" w:cs="Tahoma"/>
            <w:color w:val="1F7357"/>
            <w:sz w:val="24"/>
            <w:szCs w:val="24"/>
            <w:lang w:eastAsia="ru-RU"/>
          </w:rPr>
          <w:t>закон</w:t>
        </w:r>
      </w:hyperlink>
      <w:r w:rsidRPr="00E30BA2">
        <w:rPr>
          <w:rFonts w:ascii="Arial" w:eastAsia="Times New Roman" w:hAnsi="Arial" w:cs="Arial"/>
          <w:sz w:val="24"/>
          <w:szCs w:val="24"/>
          <w:lang w:eastAsia="ru-RU"/>
        </w:rPr>
        <w:t> от 12.01.1996 N 7-ФЗ "О некоммерческих организациях" </w:t>
      </w:r>
      <w:r w:rsidRPr="00E30B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бюджетные ассигнования муниципальным бюджетным учреждениям предоставляются из бюджета в виде субсидий на финансовое обеспечение выполнения муниципального задания или субсидий на иные цели.</w:t>
      </w:r>
    </w:p>
    <w:p w:rsidR="00E30BA2" w:rsidRPr="00E30BA2" w:rsidRDefault="00E30BA2" w:rsidP="00E30BA2">
      <w:pPr>
        <w:spacing w:before="195" w:after="195" w:line="240" w:lineRule="auto"/>
        <w:ind w:firstLine="54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E30BA2">
        <w:rPr>
          <w:rFonts w:ascii="Arial" w:eastAsia="Times New Roman" w:hAnsi="Arial" w:cs="Arial"/>
          <w:sz w:val="24"/>
          <w:szCs w:val="24"/>
          <w:lang w:eastAsia="ru-RU"/>
        </w:rPr>
        <w:t>Финансовое обеспечение выполнения муниципального задания осуществляется на возмещение нормативных затрат, связанных с оказанием бюджетным учреждением муниципальных услуг (выполнением работ) физическим и (или) юридическим лицам с учетом расходов на содержание недвижимого имущества и особо ценного движимого имущества, закрепленного за бюджетным учреждением учредителем или приобретенного бюджетным учреждением за счет средств, выделенных ему учредителем на приобретение такого имущества.</w:t>
      </w:r>
    </w:p>
    <w:p w:rsidR="00E30BA2" w:rsidRPr="00E30BA2" w:rsidRDefault="00E30BA2" w:rsidP="00E30BA2">
      <w:pPr>
        <w:spacing w:before="195" w:after="195" w:line="240" w:lineRule="auto"/>
        <w:ind w:firstLine="54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E30B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Субсидия на иные цели предоставляется муниципальному бюджетному учреждению в случае необходимости осуществления санкционирования оплаты денежных обязательств по расходам учреждения, носящих непостоянный характер, включение которых в состав нормативных затрат на оказание муниципальных услуг (работ) в рамках муниципального задания может привести к искажению реальной стоимости данных услуг (работ) (например, проведение разовых целевых мероприятий, приобретением оборудования и т.п.).</w:t>
      </w:r>
    </w:p>
    <w:p w:rsidR="00E30BA2" w:rsidRPr="00E30BA2" w:rsidRDefault="00E30BA2" w:rsidP="00E30BA2">
      <w:pPr>
        <w:spacing w:before="195" w:after="195" w:line="240" w:lineRule="auto"/>
        <w:ind w:firstLine="54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E30B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случае если указанные выше мероприятия в силу специфики деятельности муниципального бюджетного учреждения осуществляются постоянно, то </w:t>
      </w:r>
      <w:r w:rsidRPr="00E30B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соответствующие им расходы могут быть отнесены к одной из групп нормативных затрат на оказание муниципальной услуги (работы) в соответствии с положениями муниципального правового акта местной администрации и включены в расчет субсидии на муниципальное задание.</w:t>
      </w:r>
    </w:p>
    <w:p w:rsidR="00E30BA2" w:rsidRPr="00E30BA2" w:rsidRDefault="00E30BA2" w:rsidP="00E30BA2">
      <w:pPr>
        <w:spacing w:after="0" w:line="240" w:lineRule="auto"/>
        <w:ind w:firstLine="54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E30BA2">
        <w:rPr>
          <w:rFonts w:ascii="Arial" w:eastAsia="Times New Roman" w:hAnsi="Arial" w:cs="Arial"/>
          <w:sz w:val="24"/>
          <w:szCs w:val="24"/>
          <w:lang w:eastAsia="ru-RU"/>
        </w:rPr>
        <w:t>Согласно </w:t>
      </w:r>
      <w:hyperlink r:id="rId7" w:history="1">
        <w:r w:rsidRPr="00E30BA2">
          <w:rPr>
            <w:rFonts w:ascii="Tahoma" w:eastAsia="Times New Roman" w:hAnsi="Tahoma" w:cs="Tahoma"/>
            <w:color w:val="1F7357"/>
            <w:sz w:val="24"/>
            <w:szCs w:val="24"/>
            <w:lang w:eastAsia="ru-RU"/>
          </w:rPr>
          <w:t>п. 2 ст. 69.2</w:t>
        </w:r>
      </w:hyperlink>
      <w:r w:rsidRPr="00E30BA2">
        <w:rPr>
          <w:rFonts w:ascii="Arial" w:eastAsia="Times New Roman" w:hAnsi="Arial" w:cs="Arial"/>
          <w:sz w:val="24"/>
          <w:szCs w:val="24"/>
          <w:lang w:eastAsia="ru-RU"/>
        </w:rPr>
        <w:t> БК РФ показатели муниципального задания используются для определения объема субсидий на выполнение муниципального задания бюджетным учреждением.</w:t>
      </w:r>
    </w:p>
    <w:p w:rsidR="00E30BA2" w:rsidRPr="00E30BA2" w:rsidRDefault="00E30BA2" w:rsidP="00E30BA2">
      <w:pPr>
        <w:spacing w:before="195" w:after="195" w:line="240" w:lineRule="auto"/>
        <w:ind w:firstLine="54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E30BA2">
        <w:rPr>
          <w:rFonts w:ascii="Arial" w:eastAsia="Times New Roman" w:hAnsi="Arial" w:cs="Arial"/>
          <w:sz w:val="24"/>
          <w:szCs w:val="24"/>
          <w:lang w:eastAsia="ru-RU"/>
        </w:rPr>
        <w:t>Согласно Порядка формирования муниципального задания и финансового обеспечения выполнения муниципального задания бюджетными учреждениями Полевского городского округа, утвержденного Постановлением Главы Полевского городского округа от 17.03.2011 N 670 изменение объема субсидии, предоставленной из местного бюджета бюджетному учреждению на финансовое обеспечение муниципального задания осуществляется только в случае внесения соответствующих изменений в муниципальное задание, которое может осуществляться  при внесении изменений в нормативные правовые акты, на основании которых было сформировано муниципальное задание.</w:t>
      </w:r>
    </w:p>
    <w:p w:rsidR="00E30BA2" w:rsidRPr="00E30BA2" w:rsidRDefault="00E30BA2" w:rsidP="00E30BA2">
      <w:pPr>
        <w:spacing w:before="195" w:after="195" w:line="240" w:lineRule="auto"/>
        <w:ind w:firstLine="54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E30BA2">
        <w:rPr>
          <w:rFonts w:ascii="Arial" w:eastAsia="Times New Roman" w:hAnsi="Arial" w:cs="Arial"/>
          <w:sz w:val="24"/>
          <w:szCs w:val="24"/>
          <w:lang w:eastAsia="ru-RU"/>
        </w:rPr>
        <w:t>Так, в Муниципальном задании МБУ «Детский оздоровительный лагерь «Лесная сказка» на оказание муниципальной услуги по </w:t>
      </w:r>
      <w:r w:rsidRPr="00E30B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организации отдыха и оздоровление детей в каникулярное время</w:t>
      </w:r>
      <w:r w:rsidRPr="00E30BA2">
        <w:rPr>
          <w:rFonts w:ascii="Arial" w:eastAsia="Times New Roman" w:hAnsi="Arial" w:cs="Arial"/>
          <w:sz w:val="24"/>
          <w:szCs w:val="24"/>
          <w:lang w:eastAsia="ru-RU"/>
        </w:rPr>
        <w:t>, утвержденным и.о. начальника ОМС Управление культурой ПГО 29.12.2012, указан нормативный правовой акт, которым регулируется порядок оказания муниципальной услуги – Постановление Правительства Свердловской области от 04.03.2011 № 188-ПП «О мерах по обеспечению отдыха, оздоровления и занятости детей и подростков в 2011 году», действие которого ограничено 2011 годом.</w:t>
      </w:r>
    </w:p>
    <w:p w:rsidR="00E30BA2" w:rsidRPr="00E30BA2" w:rsidRDefault="00E30BA2" w:rsidP="00E30BA2">
      <w:pPr>
        <w:spacing w:before="195" w:after="195" w:line="240" w:lineRule="auto"/>
        <w:ind w:firstLine="54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E30B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2013 году действуют положения постановления Правительства Свердловской области от 18.03.2013 № 324-ПП «О внесении изменений в постановление Правительства Свердловской области от 07.03.2012 № 220-ПП «О мерах по обеспечению отдыха, оздоровления и занятости детей и подростков в 2012-2014 годах», которым установлена иной размер средней стоимости путевок в загородных оздоровительных лагерях, работающих в летний период – 12115,62 руб., тогда как значение предельной цены (тарифа) на оплату муниципальной услуги, определенное Муниципальным заданием в соответствии со средней стоимостью путевок согласно </w:t>
      </w:r>
      <w:r w:rsidRPr="00E30BA2">
        <w:rPr>
          <w:rFonts w:ascii="Arial" w:eastAsia="Times New Roman" w:hAnsi="Arial" w:cs="Arial"/>
          <w:sz w:val="24"/>
          <w:szCs w:val="24"/>
          <w:lang w:eastAsia="ru-RU"/>
        </w:rPr>
        <w:t>Постановлению Правительства Свердловской области от 04.03.2011 № 188-ПП составляет </w:t>
      </w:r>
      <w:r w:rsidRPr="00E30B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10833,9 руб.</w:t>
      </w:r>
    </w:p>
    <w:p w:rsidR="00E30BA2" w:rsidRPr="00E30BA2" w:rsidRDefault="00E30BA2" w:rsidP="00E30BA2">
      <w:pPr>
        <w:spacing w:before="195" w:after="195" w:line="240" w:lineRule="auto"/>
        <w:ind w:firstLine="54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E30B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Следовательно, основания для увеличения объема субсидии на финансовое обеспечение выполнения муниципального задания, в случае внесения соответствующих изменений в муниципальное задание </w:t>
      </w:r>
      <w:r w:rsidRPr="00E30BA2">
        <w:rPr>
          <w:rFonts w:ascii="Arial" w:eastAsia="Times New Roman" w:hAnsi="Arial" w:cs="Arial"/>
          <w:sz w:val="24"/>
          <w:szCs w:val="24"/>
          <w:lang w:eastAsia="ru-RU"/>
        </w:rPr>
        <w:t>МБУ «Детский оздоровительный лагерь «Лесная сказка» </w:t>
      </w:r>
      <w:r w:rsidRPr="00E30B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имеются, но сумма изменения объема субсидии на выполнение муниципального задания и предполагаемые расходы не подтверждены расчетами.</w:t>
      </w:r>
    </w:p>
    <w:p w:rsidR="00E30BA2" w:rsidRPr="00E30BA2" w:rsidRDefault="00E30BA2" w:rsidP="00E30BA2">
      <w:pPr>
        <w:spacing w:before="195" w:after="195" w:line="240" w:lineRule="auto"/>
        <w:ind w:firstLine="54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E30B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Следует отметить, что бюджетные ассигнования на организацию отдыха и оздоровление детей в каникулярное время в МБУ "Детский оздоровительный лагерь "Лесная сказка" в рамках выполнения мероприятия по проведению оздоровительной кампании детей не могут быть предоставлены бюджетному учреждению по виду расходов 522 «Выполнение мероприятий».</w:t>
      </w:r>
    </w:p>
    <w:p w:rsidR="00E30BA2" w:rsidRPr="00E30BA2" w:rsidRDefault="00E30BA2" w:rsidP="00E30BA2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E30BA2">
        <w:rPr>
          <w:rFonts w:ascii="Arial" w:eastAsia="Times New Roman" w:hAnsi="Arial" w:cs="Arial"/>
          <w:sz w:val="24"/>
          <w:szCs w:val="24"/>
          <w:lang w:eastAsia="ru-RU"/>
        </w:rPr>
        <w:lastRenderedPageBreak/>
        <w:t>2. </w:t>
      </w:r>
      <w:r w:rsidRPr="00E30B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Проектом не меняются основные характеристики бюджета.  Не изменяется направление использования бюджетных средств по функциональной классификации расходов.</w:t>
      </w:r>
    </w:p>
    <w:p w:rsidR="00E30BA2" w:rsidRPr="00E30BA2" w:rsidRDefault="00E30BA2" w:rsidP="00E30BA2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E30B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Изменения бюджетных ассигнований вносятся в ведомственную структуру расходов по главным распорядителям бюджетных средств ОМС Управление образованием ПГО и ОМС Управление культурой ПГО.</w:t>
      </w:r>
    </w:p>
    <w:p w:rsidR="00E30BA2" w:rsidRPr="00E30BA2" w:rsidRDefault="00E30BA2" w:rsidP="00E30BA2">
      <w:pPr>
        <w:spacing w:before="195" w:after="195" w:line="240" w:lineRule="auto"/>
        <w:ind w:firstLine="708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E30B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Данные об изменении в ведомственной структуре расходов местного бюджета  представлены в таблице.</w:t>
      </w:r>
    </w:p>
    <w:p w:rsidR="00E30BA2" w:rsidRPr="00E30BA2" w:rsidRDefault="00E30BA2" w:rsidP="00E30BA2">
      <w:pPr>
        <w:spacing w:before="195" w:after="195" w:line="240" w:lineRule="auto"/>
        <w:ind w:firstLine="708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E30B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                                                                                    Таблица</w:t>
      </w:r>
    </w:p>
    <w:tbl>
      <w:tblPr>
        <w:tblW w:w="0" w:type="auto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6"/>
        <w:gridCol w:w="1533"/>
        <w:gridCol w:w="1160"/>
        <w:gridCol w:w="987"/>
        <w:gridCol w:w="1039"/>
        <w:gridCol w:w="1796"/>
        <w:gridCol w:w="1007"/>
        <w:gridCol w:w="1328"/>
      </w:tblGrid>
      <w:tr w:rsidR="00E30BA2" w:rsidRPr="00E30BA2" w:rsidTr="00E30BA2">
        <w:tc>
          <w:tcPr>
            <w:tcW w:w="8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0BA2" w:rsidRPr="00E30BA2" w:rsidRDefault="00E30BA2" w:rsidP="00E30BA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30BA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Код ГРБС</w:t>
            </w: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0BA2" w:rsidRPr="00E30BA2" w:rsidRDefault="00E30BA2" w:rsidP="00E30BA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30BA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Наименование ГРБС</w:t>
            </w:r>
          </w:p>
        </w:tc>
        <w:tc>
          <w:tcPr>
            <w:tcW w:w="10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0BA2" w:rsidRPr="00E30BA2" w:rsidRDefault="00E30BA2" w:rsidP="00E30BA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30BA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Раздел, подраздел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0BA2" w:rsidRPr="00E30BA2" w:rsidRDefault="00E30BA2" w:rsidP="00E30BA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30BA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Целевая статья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0BA2" w:rsidRPr="00E30BA2" w:rsidRDefault="00E30BA2" w:rsidP="00E30BA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30BA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Вид расходов</w:t>
            </w:r>
          </w:p>
        </w:tc>
        <w:tc>
          <w:tcPr>
            <w:tcW w:w="16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0BA2" w:rsidRPr="00E30BA2" w:rsidRDefault="00E30BA2" w:rsidP="00E30BA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30BA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Решение Думы № 624                     (с изм.), тыс.руб.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0BA2" w:rsidRPr="00E30BA2" w:rsidRDefault="00E30BA2" w:rsidP="00E30BA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30BA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Проект, тыс.руб.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0BA2" w:rsidRPr="00E30BA2" w:rsidRDefault="00E30BA2" w:rsidP="00E30BA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30BA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Отклонение, тыс. руб.</w:t>
            </w:r>
          </w:p>
        </w:tc>
      </w:tr>
      <w:tr w:rsidR="00E30BA2" w:rsidRPr="00E30BA2" w:rsidTr="00E30BA2"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0BA2" w:rsidRPr="00E30BA2" w:rsidRDefault="00E30BA2" w:rsidP="00E30BA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30BA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906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0BA2" w:rsidRPr="00E30BA2" w:rsidRDefault="00E30BA2" w:rsidP="00E30BA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30BA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ОМС Управление образованием ПГО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0BA2" w:rsidRPr="00E30BA2" w:rsidRDefault="00E30BA2" w:rsidP="00E30BA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30BA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0BA2" w:rsidRPr="00E30BA2" w:rsidRDefault="00E30BA2" w:rsidP="00E30BA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30BA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4320100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0BA2" w:rsidRPr="00E30BA2" w:rsidRDefault="00E30BA2" w:rsidP="00E30BA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30BA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522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0BA2" w:rsidRPr="00E30BA2" w:rsidRDefault="00E30BA2" w:rsidP="00E30BA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30BA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6500,0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0BA2" w:rsidRPr="00E30BA2" w:rsidRDefault="00E30BA2" w:rsidP="00E30BA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30BA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4484,788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0BA2" w:rsidRPr="00E30BA2" w:rsidRDefault="00E30BA2" w:rsidP="00E30BA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30BA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-2015,212</w:t>
            </w:r>
          </w:p>
        </w:tc>
      </w:tr>
      <w:tr w:rsidR="00E30BA2" w:rsidRPr="00E30BA2" w:rsidTr="00E30BA2"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0BA2" w:rsidRPr="00E30BA2" w:rsidRDefault="00E30BA2" w:rsidP="00E30BA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30BA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908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0BA2" w:rsidRPr="00E30BA2" w:rsidRDefault="00E30BA2" w:rsidP="00E30BA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30BA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ОМС Управление культурой ПГО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0BA2" w:rsidRPr="00E30BA2" w:rsidRDefault="00E30BA2" w:rsidP="00E30BA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30BA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0BA2" w:rsidRPr="00E30BA2" w:rsidRDefault="00E30BA2" w:rsidP="00E30BA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30BA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4320100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0BA2" w:rsidRPr="00E30BA2" w:rsidRDefault="00E30BA2" w:rsidP="00E30BA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30BA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522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0BA2" w:rsidRPr="00E30BA2" w:rsidRDefault="00E30BA2" w:rsidP="00E30BA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30BA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0BA2" w:rsidRPr="00E30BA2" w:rsidRDefault="00E30BA2" w:rsidP="00E30BA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30BA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2015,212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0BA2" w:rsidRPr="00E30BA2" w:rsidRDefault="00E30BA2" w:rsidP="00E30BA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E30BA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+2015,212</w:t>
            </w:r>
          </w:p>
        </w:tc>
      </w:tr>
    </w:tbl>
    <w:p w:rsidR="00E30BA2" w:rsidRPr="00E30BA2" w:rsidRDefault="00E30BA2" w:rsidP="00E30BA2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E30B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 Предлагаемый в проекте размер профицита местного бюджета не меняется. Предельный объем муниципального долга бюджета муниципального образования Полевской городской округ, верхний предел муниципального долга и верхний предел долга по муниципальным гарантиям не меняются.</w:t>
      </w:r>
    </w:p>
    <w:p w:rsidR="00E30BA2" w:rsidRPr="00E30BA2" w:rsidRDefault="00E30BA2" w:rsidP="00E30BA2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E30B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 Проект решения Думы Полевского городского округа «О внесении изменений и дополнений в решение Думы Полевского городского округа от 24.12.2012 № 624 «О бюджете Полевского городского округа на 2013 год» соответствует бюджетному законодательству Российской Федерации, противоречий не установлено и может быть рекомендован к рассмотрению Думой Полевского городского округа с учетом замечаний Счетной палаты, изложенных в настоящем заключении.</w:t>
      </w:r>
    </w:p>
    <w:p w:rsidR="00E30BA2" w:rsidRPr="00E30BA2" w:rsidRDefault="00E30BA2" w:rsidP="00E30BA2">
      <w:pPr>
        <w:spacing w:before="195" w:after="195" w:line="240" w:lineRule="auto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E30B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Председатель Счетной палаты                                                           </w:t>
      </w:r>
    </w:p>
    <w:p w:rsidR="00E30BA2" w:rsidRPr="00E30BA2" w:rsidRDefault="00E30BA2" w:rsidP="00E30BA2">
      <w:pPr>
        <w:spacing w:before="195" w:after="195" w:line="240" w:lineRule="auto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E30B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Полевского городского округа                                                                                      И.М. Зюзева</w:t>
      </w:r>
    </w:p>
    <w:p w:rsidR="00FE4263" w:rsidRDefault="00FE4263">
      <w:bookmarkStart w:id="0" w:name="_GoBack"/>
      <w:bookmarkEnd w:id="0"/>
    </w:p>
    <w:sectPr w:rsidR="00FE42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7786"/>
    <w:rsid w:val="00247786"/>
    <w:rsid w:val="00E30BA2"/>
    <w:rsid w:val="00FE4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30B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30BA2"/>
    <w:rPr>
      <w:b/>
      <w:bCs/>
    </w:rPr>
  </w:style>
  <w:style w:type="character" w:styleId="a5">
    <w:name w:val="Hyperlink"/>
    <w:basedOn w:val="a0"/>
    <w:uiPriority w:val="99"/>
    <w:semiHidden/>
    <w:unhideWhenUsed/>
    <w:rsid w:val="00E30BA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30B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30BA2"/>
    <w:rPr>
      <w:b/>
      <w:bCs/>
    </w:rPr>
  </w:style>
  <w:style w:type="character" w:styleId="a5">
    <w:name w:val="Hyperlink"/>
    <w:basedOn w:val="a0"/>
    <w:uiPriority w:val="99"/>
    <w:semiHidden/>
    <w:unhideWhenUsed/>
    <w:rsid w:val="00E30BA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85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83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A8D77C31E7BC51C126756803FCE8E6647115020A31142DE451602BADB06AEBF43F86FB2B3DA4G061E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BEAE1941BA691F01604353ED204036317E6E2F6C49792C6303E37F09Dp8n8F" TargetMode="External"/><Relationship Id="rId5" Type="http://schemas.openxmlformats.org/officeDocument/2006/relationships/hyperlink" Target="consultantplus://offline/ref=0BC2945BE168C16212740228B0C30CFA7E3C5C7D9BBF4E48FE18640A354D1AADF4258F9D8Ba45BE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1576</Words>
  <Characters>8985</Characters>
  <Application>Microsoft Office Word</Application>
  <DocSecurity>0</DocSecurity>
  <Lines>74</Lines>
  <Paragraphs>21</Paragraphs>
  <ScaleCrop>false</ScaleCrop>
  <Company/>
  <LinksUpToDate>false</LinksUpToDate>
  <CharactersWithSpaces>10540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Noon Doktor</dc:creator>
  <cp:keywords/>
  <dc:description/>
  <cp:lastModifiedBy>Noon Doktor</cp:lastModifiedBy>
  <cp:revision>3</cp:revision>
  <dcterms:created xsi:type="dcterms:W3CDTF">2026-04-09T12:19:00Z</dcterms:created>
  <dcterms:modified xsi:type="dcterms:W3CDTF">2026-04-09T12:19:00Z</dcterms:modified>
</cp:coreProperties>
</file>