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43F" w:rsidRPr="0099143F" w:rsidRDefault="0099143F" w:rsidP="0099143F">
      <w:pPr>
        <w:spacing w:before="195" w:after="195" w:line="240" w:lineRule="auto"/>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ЗАКЛЮЧЕНИЕ</w:t>
      </w:r>
    </w:p>
    <w:p w:rsidR="0099143F" w:rsidRPr="0099143F" w:rsidRDefault="0099143F" w:rsidP="0099143F">
      <w:pPr>
        <w:spacing w:before="195" w:after="195" w:line="240" w:lineRule="auto"/>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Счетной палаты на проект постановления Главы Полевского городского округа</w:t>
      </w:r>
    </w:p>
    <w:p w:rsidR="0099143F" w:rsidRPr="0099143F" w:rsidRDefault="0099143F" w:rsidP="0099143F">
      <w:pPr>
        <w:spacing w:before="195" w:after="195" w:line="240" w:lineRule="auto"/>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«О внесении изменений в муниципальную целевую программу «Развитие и модернизация объектов жилищно-коммунальной инфраструктуры Полевского городского округа на 2012-2015 годы », утвержденную постановлением Главы Полевского городского округа</w:t>
      </w:r>
    </w:p>
    <w:p w:rsidR="0099143F" w:rsidRPr="0099143F" w:rsidRDefault="0099143F" w:rsidP="0099143F">
      <w:pPr>
        <w:spacing w:before="195" w:after="195" w:line="240" w:lineRule="auto"/>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 от 28.09.2012  № 1973.</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02 июля 2013 года                                                                                                                г. Полевской</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Заключение подготовлено Счетной палатой Полевского городского округа (далее – Счетная палата) в соответствии со статьей 8 Положения о Счетной палате Полевского городского округа, утвержденного решением Думы Полевского городского округа от 15.12.2011 N 436, на основании пункта 8 раздела 2 плана работы Счетной палаты на 2013 год, распоряжения председателя Счетной палаты от 28.06.2013 № 61 по результатам финансово-экономической экспертизы проекта постановления Главы Полевского городского округа «О внесении изменений в </w:t>
      </w:r>
      <w:r w:rsidRPr="0099143F">
        <w:rPr>
          <w:rFonts w:ascii="Arial" w:eastAsia="Times New Roman" w:hAnsi="Arial" w:cs="Arial"/>
          <w:b/>
          <w:bCs/>
          <w:color w:val="000000"/>
          <w:sz w:val="24"/>
          <w:szCs w:val="24"/>
          <w:lang w:eastAsia="ru-RU"/>
        </w:rPr>
        <w:t> </w:t>
      </w:r>
      <w:r w:rsidRPr="0099143F">
        <w:rPr>
          <w:rFonts w:ascii="Arial" w:eastAsia="Times New Roman" w:hAnsi="Arial" w:cs="Arial"/>
          <w:color w:val="000000"/>
          <w:sz w:val="24"/>
          <w:szCs w:val="24"/>
          <w:lang w:eastAsia="ru-RU"/>
        </w:rPr>
        <w:t>муниципальную целевую программу «Развитие и модернизация объектов жилищно-коммунальной инфраструктуры Полевского городского округа на 2012-2013 годы», утвержденную постановлением Главы Полевского городского округа от 28.09.2012  № 1973  (далее – проект постановления).</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В Счетную палату 28.06.2013 года для проведения экспертизы поступили следующие документы:</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1. Письмо  Главы Полевского городского округа от 27.06.2013 № 3099 – на 1 листе.</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2. Проект постановления– на 13 листах.</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3. Пояснительная записка - на 2 листах.</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К проекту постановления не представлено финансово-экономическое обоснование в части касающейся расходных обязательств Полевского городского округа, поэтому  экспертиза обоснованности финансово-экономических обоснований Счетной палатой не проводилась.</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К проекту постановления не представлены пояснительная записка, лист согласования проекта,   заключения отдела по экономике, Финансового управления Администрации Полевского городского округа, юридического отдела Администрации Полевского городского округа, что не соответствует постановлению Главы Полевского городского округа от 11.03.2009 N 244 "Об утверждении Положения о порядке подготовки и организации исполнения муниципальных целевых программ Полевского городского округа" (далее – постановление Главы ПГО от 11.03.2009 № 244).</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xml:space="preserve">Согласно раздела 7 постановления Главы ПГО от 11.03.2009 № 244 в заключении отдела по экономике в обязательном порядке должна содержаться оценка  социально-экономических последствий выполнения Программы и оценка </w:t>
      </w:r>
      <w:r w:rsidRPr="0099143F">
        <w:rPr>
          <w:rFonts w:ascii="Arial" w:eastAsia="Times New Roman" w:hAnsi="Arial" w:cs="Arial"/>
          <w:color w:val="000000"/>
          <w:sz w:val="24"/>
          <w:szCs w:val="24"/>
          <w:lang w:eastAsia="ru-RU"/>
        </w:rPr>
        <w:lastRenderedPageBreak/>
        <w:t>эффективности, обоснованности и целесообразности предполагаемых расходов из местного бюджета на выполнение Программы.  В заключении Финансового управления в обязательном порядке должна содержаться оценка соответствия расходов на выполнение мероприятий Программы за счет средств местного бюджета действующему бюджетному законодательству. В заключении юридического отдела по результатам правовой экспертизы проекта Программы, обязательно должны содержаться сведения о соответствии проекта Программы действующему законодательству Российской Федерации и Свердловской области.</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Рассмотрев проект постановления, Счетная палата отмечает следующее.</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w:t>
      </w:r>
      <w:r w:rsidRPr="0099143F">
        <w:rPr>
          <w:rFonts w:ascii="Arial" w:eastAsia="Times New Roman" w:hAnsi="Arial" w:cs="Arial"/>
          <w:b/>
          <w:bCs/>
          <w:color w:val="000000"/>
          <w:sz w:val="24"/>
          <w:szCs w:val="24"/>
          <w:lang w:eastAsia="ru-RU"/>
        </w:rPr>
        <w:t>      </w:t>
      </w:r>
      <w:r w:rsidRPr="0099143F">
        <w:rPr>
          <w:rFonts w:ascii="Arial" w:eastAsia="Times New Roman" w:hAnsi="Arial" w:cs="Arial"/>
          <w:color w:val="000000"/>
          <w:sz w:val="24"/>
          <w:szCs w:val="24"/>
          <w:lang w:eastAsia="ru-RU"/>
        </w:rPr>
        <w:t>Муниципальной целевой программой «Развитие и модернизация объектов жилищно-коммунальной инфраструктуры Полевского городского округа на 2012-2013 годы» определены следующие объемы и источники финансирования:</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местный бюджет – 101 865,65 тыс. руб.;</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областной бюджет – 76 834,0 тыс. руб.;</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внебюджетные источники – 786,15 тыс. руб., в том числе по годам:</w:t>
      </w:r>
    </w:p>
    <w:tbl>
      <w:tblPr>
        <w:tblW w:w="0" w:type="auto"/>
        <w:tblInd w:w="70" w:type="dxa"/>
        <w:tblCellMar>
          <w:left w:w="0" w:type="dxa"/>
          <w:right w:w="0" w:type="dxa"/>
        </w:tblCellMar>
        <w:tblLook w:val="04A0" w:firstRow="1" w:lastRow="0" w:firstColumn="1" w:lastColumn="0" w:noHBand="0" w:noVBand="1"/>
      </w:tblPr>
      <w:tblGrid>
        <w:gridCol w:w="534"/>
        <w:gridCol w:w="2567"/>
        <w:gridCol w:w="1246"/>
        <w:gridCol w:w="1378"/>
        <w:gridCol w:w="1246"/>
        <w:gridCol w:w="1112"/>
        <w:gridCol w:w="1342"/>
      </w:tblGrid>
      <w:tr w:rsidR="0099143F" w:rsidRPr="0099143F" w:rsidTr="0099143F">
        <w:trPr>
          <w:trHeight w:val="120"/>
        </w:trPr>
        <w:tc>
          <w:tcPr>
            <w:tcW w:w="547" w:type="dxa"/>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2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w:t>
            </w:r>
            <w:r w:rsidRPr="0099143F">
              <w:rPr>
                <w:rFonts w:ascii="Arial" w:eastAsia="Times New Roman" w:hAnsi="Arial" w:cs="Arial"/>
                <w:b/>
                <w:bCs/>
                <w:color w:val="000000"/>
                <w:sz w:val="24"/>
                <w:szCs w:val="24"/>
                <w:lang w:eastAsia="ru-RU"/>
              </w:rPr>
              <w:br/>
              <w:t>п/п</w:t>
            </w:r>
          </w:p>
        </w:tc>
        <w:tc>
          <w:tcPr>
            <w:tcW w:w="2693"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20" w:lineRule="atLeast"/>
              <w:ind w:firstLine="420"/>
              <w:jc w:val="both"/>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Источники финансирования</w:t>
            </w:r>
          </w:p>
        </w:tc>
        <w:tc>
          <w:tcPr>
            <w:tcW w:w="5086" w:type="dxa"/>
            <w:gridSpan w:val="4"/>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20" w:lineRule="atLeast"/>
              <w:ind w:firstLine="420"/>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Объем финансирования, (тыс. руб.)</w:t>
            </w:r>
          </w:p>
        </w:tc>
        <w:tc>
          <w:tcPr>
            <w:tcW w:w="1335"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2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Итого, (тыс.руб.)</w:t>
            </w:r>
          </w:p>
        </w:tc>
      </w:tr>
      <w:tr w:rsidR="0099143F" w:rsidRPr="0099143F" w:rsidTr="0099143F">
        <w:trPr>
          <w:trHeight w:val="55"/>
        </w:trPr>
        <w:tc>
          <w:tcPr>
            <w:tcW w:w="0" w:type="auto"/>
            <w:vMerge/>
            <w:tcBorders>
              <w:top w:val="single" w:sz="8" w:space="0" w:color="auto"/>
              <w:left w:val="single" w:sz="8" w:space="0" w:color="auto"/>
              <w:bottom w:val="single" w:sz="8" w:space="0" w:color="auto"/>
              <w:right w:val="single" w:sz="8" w:space="0" w:color="auto"/>
            </w:tcBorders>
            <w:vAlign w:val="center"/>
            <w:hideMark/>
          </w:tcPr>
          <w:p w:rsidR="0099143F" w:rsidRPr="0099143F" w:rsidRDefault="0099143F" w:rsidP="0099143F">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99143F" w:rsidRPr="0099143F" w:rsidRDefault="0099143F" w:rsidP="0099143F">
            <w:pPr>
              <w:spacing w:after="0" w:line="240" w:lineRule="auto"/>
              <w:rPr>
                <w:rFonts w:ascii="Tahoma" w:eastAsia="Times New Roman" w:hAnsi="Tahoma" w:cs="Tahoma"/>
                <w:color w:val="000000"/>
                <w:sz w:val="21"/>
                <w:szCs w:val="21"/>
                <w:lang w:eastAsia="ru-RU"/>
              </w:rPr>
            </w:pPr>
          </w:p>
        </w:tc>
        <w:tc>
          <w:tcPr>
            <w:tcW w:w="12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55"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2012 г.</w:t>
            </w:r>
          </w:p>
        </w:tc>
        <w:tc>
          <w:tcPr>
            <w:tcW w:w="1440"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55"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2013 г.</w:t>
            </w:r>
          </w:p>
        </w:tc>
        <w:tc>
          <w:tcPr>
            <w:tcW w:w="1260"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55"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2014 г.</w:t>
            </w:r>
          </w:p>
        </w:tc>
        <w:tc>
          <w:tcPr>
            <w:tcW w:w="112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55"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2015 г.</w:t>
            </w:r>
          </w:p>
        </w:tc>
        <w:tc>
          <w:tcPr>
            <w:tcW w:w="0" w:type="auto"/>
            <w:vMerge/>
            <w:tcBorders>
              <w:top w:val="single" w:sz="8" w:space="0" w:color="auto"/>
              <w:left w:val="nil"/>
              <w:bottom w:val="single" w:sz="8" w:space="0" w:color="auto"/>
              <w:right w:val="single" w:sz="8" w:space="0" w:color="auto"/>
            </w:tcBorders>
            <w:vAlign w:val="center"/>
            <w:hideMark/>
          </w:tcPr>
          <w:p w:rsidR="0099143F" w:rsidRPr="0099143F" w:rsidRDefault="0099143F" w:rsidP="0099143F">
            <w:pPr>
              <w:spacing w:after="0" w:line="240" w:lineRule="auto"/>
              <w:rPr>
                <w:rFonts w:ascii="Tahoma" w:eastAsia="Times New Roman" w:hAnsi="Tahoma" w:cs="Tahoma"/>
                <w:color w:val="000000"/>
                <w:sz w:val="21"/>
                <w:szCs w:val="21"/>
                <w:lang w:eastAsia="ru-RU"/>
              </w:rPr>
            </w:pPr>
          </w:p>
        </w:tc>
      </w:tr>
      <w:tr w:rsidR="0099143F" w:rsidRPr="0099143F" w:rsidTr="0099143F">
        <w:trPr>
          <w:trHeight w:val="80"/>
        </w:trPr>
        <w:tc>
          <w:tcPr>
            <w:tcW w:w="54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1.</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Федеральный бюджет               </w:t>
            </w:r>
          </w:p>
        </w:tc>
        <w:tc>
          <w:tcPr>
            <w:tcW w:w="12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w:t>
            </w:r>
          </w:p>
        </w:tc>
        <w:tc>
          <w:tcPr>
            <w:tcW w:w="1440"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w:t>
            </w:r>
          </w:p>
        </w:tc>
        <w:tc>
          <w:tcPr>
            <w:tcW w:w="1126"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w:t>
            </w:r>
          </w:p>
        </w:tc>
        <w:tc>
          <w:tcPr>
            <w:tcW w:w="1335"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w:t>
            </w:r>
          </w:p>
        </w:tc>
      </w:tr>
      <w:tr w:rsidR="0099143F" w:rsidRPr="0099143F" w:rsidTr="0099143F">
        <w:trPr>
          <w:trHeight w:val="29"/>
        </w:trPr>
        <w:tc>
          <w:tcPr>
            <w:tcW w:w="54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29"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2.</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29" w:lineRule="atLeast"/>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Областной бюджет                 </w:t>
            </w:r>
          </w:p>
        </w:tc>
        <w:tc>
          <w:tcPr>
            <w:tcW w:w="12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29"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30 000,00</w:t>
            </w:r>
          </w:p>
        </w:tc>
        <w:tc>
          <w:tcPr>
            <w:tcW w:w="1440"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29"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24 293,00</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29"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17 641,00</w:t>
            </w:r>
          </w:p>
        </w:tc>
        <w:tc>
          <w:tcPr>
            <w:tcW w:w="1126"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29"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4 900,00</w:t>
            </w:r>
          </w:p>
        </w:tc>
        <w:tc>
          <w:tcPr>
            <w:tcW w:w="1335"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29"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76 834,00</w:t>
            </w:r>
          </w:p>
        </w:tc>
      </w:tr>
      <w:tr w:rsidR="0099143F" w:rsidRPr="0099143F" w:rsidTr="0099143F">
        <w:trPr>
          <w:trHeight w:val="80"/>
        </w:trPr>
        <w:tc>
          <w:tcPr>
            <w:tcW w:w="54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3.</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ind w:hanging="5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Местный бюджет                   </w:t>
            </w:r>
          </w:p>
        </w:tc>
        <w:tc>
          <w:tcPr>
            <w:tcW w:w="12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13 004,80</w:t>
            </w:r>
          </w:p>
        </w:tc>
        <w:tc>
          <w:tcPr>
            <w:tcW w:w="1440"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71 919,85</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14 841,00</w:t>
            </w:r>
          </w:p>
        </w:tc>
        <w:tc>
          <w:tcPr>
            <w:tcW w:w="1126"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2 100,00</w:t>
            </w:r>
          </w:p>
        </w:tc>
        <w:tc>
          <w:tcPr>
            <w:tcW w:w="1335"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101 865,65</w:t>
            </w:r>
          </w:p>
        </w:tc>
      </w:tr>
      <w:tr w:rsidR="0099143F" w:rsidRPr="0099143F" w:rsidTr="0099143F">
        <w:trPr>
          <w:trHeight w:val="80"/>
        </w:trPr>
        <w:tc>
          <w:tcPr>
            <w:tcW w:w="54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4.</w:t>
            </w:r>
          </w:p>
        </w:tc>
        <w:tc>
          <w:tcPr>
            <w:tcW w:w="2693"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Внебюджетные средства            </w:t>
            </w:r>
          </w:p>
        </w:tc>
        <w:tc>
          <w:tcPr>
            <w:tcW w:w="12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w:t>
            </w:r>
          </w:p>
        </w:tc>
        <w:tc>
          <w:tcPr>
            <w:tcW w:w="1440"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786,15</w:t>
            </w:r>
          </w:p>
        </w:tc>
        <w:tc>
          <w:tcPr>
            <w:tcW w:w="1260"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w:t>
            </w:r>
          </w:p>
        </w:tc>
        <w:tc>
          <w:tcPr>
            <w:tcW w:w="1126"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w:t>
            </w:r>
          </w:p>
        </w:tc>
        <w:tc>
          <w:tcPr>
            <w:tcW w:w="1335" w:type="dxa"/>
            <w:tcBorders>
              <w:top w:val="nil"/>
              <w:left w:val="nil"/>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before="195" w:after="195" w:line="8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786,15</w:t>
            </w:r>
          </w:p>
        </w:tc>
      </w:tr>
      <w:tr w:rsidR="0099143F" w:rsidRPr="0099143F" w:rsidTr="0099143F">
        <w:trPr>
          <w:trHeight w:val="140"/>
        </w:trPr>
        <w:tc>
          <w:tcPr>
            <w:tcW w:w="54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99143F" w:rsidRPr="0099143F" w:rsidRDefault="0099143F" w:rsidP="0099143F">
            <w:pPr>
              <w:spacing w:after="0" w:line="140" w:lineRule="atLeast"/>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w:t>
            </w:r>
          </w:p>
        </w:tc>
        <w:tc>
          <w:tcPr>
            <w:tcW w:w="26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40" w:lineRule="atLeast"/>
              <w:jc w:val="both"/>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Всего по источникам финансирования</w:t>
            </w:r>
          </w:p>
        </w:tc>
        <w:tc>
          <w:tcPr>
            <w:tcW w:w="12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4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43 004,80</w:t>
            </w:r>
          </w:p>
        </w:tc>
        <w:tc>
          <w:tcPr>
            <w:tcW w:w="14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4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96 999,00</w:t>
            </w:r>
          </w:p>
        </w:tc>
        <w:tc>
          <w:tcPr>
            <w:tcW w:w="12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4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32 482,00</w:t>
            </w:r>
          </w:p>
        </w:tc>
        <w:tc>
          <w:tcPr>
            <w:tcW w:w="112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4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7 000,00</w:t>
            </w:r>
          </w:p>
        </w:tc>
        <w:tc>
          <w:tcPr>
            <w:tcW w:w="13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99143F" w:rsidRPr="0099143F" w:rsidRDefault="0099143F" w:rsidP="0099143F">
            <w:pPr>
              <w:spacing w:before="195" w:after="195" w:line="140" w:lineRule="atLeast"/>
              <w:jc w:val="center"/>
              <w:rPr>
                <w:rFonts w:ascii="Tahoma" w:eastAsia="Times New Roman" w:hAnsi="Tahoma" w:cs="Tahoma"/>
                <w:color w:val="000000"/>
                <w:sz w:val="21"/>
                <w:szCs w:val="21"/>
                <w:lang w:eastAsia="ru-RU"/>
              </w:rPr>
            </w:pPr>
            <w:r w:rsidRPr="0099143F">
              <w:rPr>
                <w:rFonts w:ascii="Arial" w:eastAsia="Times New Roman" w:hAnsi="Arial" w:cs="Arial"/>
                <w:b/>
                <w:bCs/>
                <w:color w:val="000000"/>
                <w:sz w:val="24"/>
                <w:szCs w:val="24"/>
                <w:lang w:eastAsia="ru-RU"/>
              </w:rPr>
              <w:t>179 485,80</w:t>
            </w:r>
          </w:p>
        </w:tc>
      </w:tr>
    </w:tbl>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В бюджете Полевского городского округа на 2013 год по программе утверждены бюджетные ассигнования из местного бюджета в сумме </w:t>
      </w:r>
      <w:r w:rsidRPr="0099143F">
        <w:rPr>
          <w:rFonts w:ascii="Arial" w:eastAsia="Times New Roman" w:hAnsi="Arial" w:cs="Arial"/>
          <w:b/>
          <w:bCs/>
          <w:color w:val="000000"/>
          <w:sz w:val="24"/>
          <w:szCs w:val="24"/>
          <w:lang w:eastAsia="ru-RU"/>
        </w:rPr>
        <w:t>31 478,024 тыс. руб.</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lastRenderedPageBreak/>
        <w:t>2. Проект постановления предусматривает увеличение расходов по Задаче № 4 «Модернизация водоснабжения, водоотведения и канализационных насосных станций» на сумму 258,0 тыс. руб., в том числе:</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ремонт бака водонапорной башни и установка гидроаккумулятора в п. Б. Лавровка на сумму 100,0 тыс. руб.;</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замена водонапорных колонок в южной части города на ул. Свободы 65, ул. Кологойды, 43, ул. Малышева 19, ул. Революционная 5, ул. Хмелинина 44, ул. К. Маркса-Кологойды, ул. Челюскинцев 25, ул. Химиков 16, ул. Белинского –Энельгеса, ул. К. Маркса 38-40 на сумму 158,0 тыс. руб.</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  К проекту постановления не представлен локальный сметный расчет на выполнение вышеуказанных мероприятий.</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3. Проектом постановления меняются объемы финансирования по Задаче № 3 «Модернизация (замена) лифтового хозяйства в многоквартирных жилых домах Полевского городского округа» в связи с уточнения объема финансирования мероприятий подпрограммы «Модернизация лифтового хозяйства в многоквартирных жилых домах Полевского городского округа на 2013 год. Общий объем финансирования подпрограммы в 2013 году за счет всех источников финансирования составит 8 694,6 тыс. руб., в т.ч.</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за счет финансовых средств собственников жилых помещений – 434,7 тыс. руб.;</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средств местного бюджета – 4 130,0 тыс. руб.;</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средств областного бюджета – 4 129,9 тыс. руб.</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Пояснений (обоснований и расчетов) изменения объемов расходов за счет финансовых средств собственников жилых помещений не представлено.</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4. В результате предлагаемых изменений и дополнений общий объем финансирования Программы в 2013 году составит 36 300, 62 тыс. руб. в том числе:</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за счет средств местного бюджета – 31 736, 02 тыс. руб. (увеличение бюджетных ассигнований на 258,0 тыс. руб., за счет увеличение расходов по Задаче № 4 «Модернизация водоснабжения, водоотведения и канализационных насосных станций»;</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за счет средств областного бюджета – 4 129,9  тыс. руб.;</w:t>
      </w:r>
    </w:p>
    <w:p w:rsidR="0099143F" w:rsidRPr="0099143F" w:rsidRDefault="0099143F" w:rsidP="0099143F">
      <w:pPr>
        <w:spacing w:before="195" w:after="195" w:line="240" w:lineRule="auto"/>
        <w:ind w:firstLine="720"/>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за счет внебюджетных источников – 434,7 тыс. руб.</w:t>
      </w:r>
    </w:p>
    <w:p w:rsidR="0099143F" w:rsidRPr="0099143F" w:rsidRDefault="0099143F" w:rsidP="0099143F">
      <w:pPr>
        <w:spacing w:before="195" w:after="195" w:line="240" w:lineRule="auto"/>
        <w:ind w:firstLine="709"/>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5. На основании изложенного в настоящем заключении предлагается учесть замечания Счётной палаты при рассмотрении и согласовании проекта постановления.</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Инспектор Счетной палаты</w:t>
      </w:r>
    </w:p>
    <w:p w:rsidR="0099143F" w:rsidRPr="0099143F" w:rsidRDefault="0099143F" w:rsidP="0099143F">
      <w:pPr>
        <w:spacing w:before="195" w:after="195" w:line="240" w:lineRule="auto"/>
        <w:jc w:val="both"/>
        <w:rPr>
          <w:rFonts w:ascii="Tahoma" w:eastAsia="Times New Roman" w:hAnsi="Tahoma" w:cs="Tahoma"/>
          <w:color w:val="000000"/>
          <w:sz w:val="21"/>
          <w:szCs w:val="21"/>
          <w:lang w:eastAsia="ru-RU"/>
        </w:rPr>
      </w:pPr>
      <w:r w:rsidRPr="0099143F">
        <w:rPr>
          <w:rFonts w:ascii="Arial" w:eastAsia="Times New Roman" w:hAnsi="Arial" w:cs="Arial"/>
          <w:color w:val="000000"/>
          <w:sz w:val="24"/>
          <w:szCs w:val="24"/>
          <w:lang w:eastAsia="ru-RU"/>
        </w:rPr>
        <w:t>Полевского городского округа                                                                                          Т.Е. Фарнина</w:t>
      </w:r>
    </w:p>
    <w:p w:rsidR="00117165" w:rsidRDefault="00117165">
      <w:bookmarkStart w:id="0" w:name="_GoBack"/>
      <w:bookmarkEnd w:id="0"/>
    </w:p>
    <w:sectPr w:rsidR="001171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3A9"/>
    <w:rsid w:val="00117165"/>
    <w:rsid w:val="006173A9"/>
    <w:rsid w:val="00991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14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143F"/>
    <w:rPr>
      <w:b/>
      <w:bCs/>
    </w:rPr>
  </w:style>
  <w:style w:type="paragraph" w:customStyle="1" w:styleId="consplusnormal">
    <w:name w:val="consplusnormal"/>
    <w:basedOn w:val="a"/>
    <w:rsid w:val="009914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14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143F"/>
    <w:rPr>
      <w:b/>
      <w:bCs/>
    </w:rPr>
  </w:style>
  <w:style w:type="paragraph" w:customStyle="1" w:styleId="consplusnormal">
    <w:name w:val="consplusnormal"/>
    <w:basedOn w:val="a"/>
    <w:rsid w:val="009914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963</Words>
  <Characters>5494</Characters>
  <Application>Microsoft Office Word</Application>
  <DocSecurity>0</DocSecurity>
  <Lines>45</Lines>
  <Paragraphs>12</Paragraphs>
  <ScaleCrop>false</ScaleCrop>
  <Company/>
  <LinksUpToDate>false</LinksUpToDate>
  <CharactersWithSpaces>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2026-04-09T12:07:00Z</dcterms:created>
  <dcterms:modified xsi:type="dcterms:W3CDTF">2026-04-09T12:07:00Z</dcterms:modified>
</cp:coreProperties>
</file>