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C9" w:rsidRDefault="005941C9" w:rsidP="005941C9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color w:val="000000"/>
          <w:sz w:val="28"/>
          <w:szCs w:val="28"/>
        </w:rPr>
        <w:t>ЗАКЛЮЧЕНИЕ</w:t>
      </w:r>
    </w:p>
    <w:p w:rsidR="005941C9" w:rsidRDefault="005941C9" w:rsidP="005941C9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color w:val="000000"/>
          <w:sz w:val="28"/>
          <w:szCs w:val="28"/>
        </w:rPr>
        <w:t>Счетной палаты на проект решения Думы Полевского городского округа «О внесении изменений в решение Думы МО «Город Полевской» от 10.11.2005 № 76 «О введении на территории Полевского городского округа земельного налога»</w:t>
      </w:r>
    </w:p>
    <w:p w:rsidR="005941C9" w:rsidRDefault="005941C9" w:rsidP="005941C9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21 августа 2013 года                                                                            г. Полевской</w:t>
      </w:r>
    </w:p>
    <w:p w:rsidR="005941C9" w:rsidRDefault="005941C9" w:rsidP="005941C9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соответствии с требованиями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7 раздела 2 плана работы Счетной палаты на 2013 год, распоряжений председателя Счетной палаты от  08.08.2013 № 81, от 20.08.2013 № 86, от 21.08.20013 № 88 Счетной палатой Полевского городского округа (далее – Счетная палата) проведена экспертиза проекта решения Думы Полевского городского округа «О внесении изменений в решение Думы МО «Город Полевской» от 10.11.2005 № 76 «О введении на территории Полевского городского округа земельного налога» (далее – проект решения), в результате которой установлено следующее.</w:t>
      </w:r>
    </w:p>
    <w:p w:rsidR="005941C9" w:rsidRDefault="005941C9" w:rsidP="005941C9">
      <w:pPr>
        <w:pStyle w:val="listparagraph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Проект решения поступил в Счетную палату 05.08.2013 без обращения Главы Полевского городского округа, с пояснительной запиской заместителя Главы Администрации Полевского городского округа по экономике и стратегическому развитию без даты, расчетом суммы ожидаемого поступления и листом согласования (проект согласован без замечаний заместителем Главы Администрации Полевского городского округа по экономике и стратегическому развитию, и.о. заведующего юридическим отделом, начальником Финансового управления).</w:t>
      </w:r>
    </w:p>
    <w:p w:rsidR="005941C9" w:rsidRDefault="005941C9" w:rsidP="005941C9">
      <w:pPr>
        <w:pStyle w:val="listparagraph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Проектом решения предлагается изменение налоговой ставки в отношении земель, занятых объектами промышленности, с 0,6 процента до 1,3 процента или увеличение на 116,67 %.</w:t>
      </w:r>
    </w:p>
    <w:p w:rsidR="005941C9" w:rsidRDefault="005941C9" w:rsidP="005941C9">
      <w:pPr>
        <w:pStyle w:val="a3"/>
        <w:spacing w:before="195" w:beforeAutospacing="0" w:after="0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Статьей 394 Налогового кодекса Российской Федерации установлены ограничения при установлении  налоговых ставок в зависимости от категории земельных участков, не выше 0,3 % в отношении земель сельскохозяйственного назначения и земель жилищного фонда, земельных участков для личного подсобного хозяйства, садоводства, огородничества или животноводства, а также дачного хозяйства и земельных участков ограниченных в обороте, предоставленных для обеспечения обороны, безопасности и таможенных нужд, и не выше 1,5% в отношении прочих земельных участков.</w:t>
      </w:r>
    </w:p>
    <w:p w:rsidR="005941C9" w:rsidRDefault="005941C9" w:rsidP="005941C9">
      <w:pPr>
        <w:pStyle w:val="a3"/>
        <w:spacing w:before="195" w:beforeAutospacing="0" w:after="0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проекте решения указанные требования соблюдены, установлена налоговая ставка в размере 1,3% в отношении земель, занятых объектами промышленности.</w:t>
      </w:r>
    </w:p>
    <w:p w:rsidR="005941C9" w:rsidRDefault="005941C9" w:rsidP="005941C9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lastRenderedPageBreak/>
        <w:t>Согласно пояснительной записки вносимое изменение должно увеличить начисление земельного налога на 122 868,37 тыс. руб. Учитывая сроки уплаты земельного налога и предлагаемые изменения прогноз поступлений в местный бюджет доходов по земельному налогу в 2014 году составит 223 872,48 тыс.руб. или 183 % по отношению к плану 2013 года (122 526,26 тыс. руб.). </w:t>
      </w:r>
    </w:p>
    <w:p w:rsidR="005941C9" w:rsidRDefault="005941C9" w:rsidP="005941C9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Увеличение поступлений земельного налога в 2014 году по сравнению с 2013 годом с учетом предлагаемых изменений прогнозируется на 101 346,22 тыс. руб.</w:t>
      </w:r>
    </w:p>
    <w:p w:rsidR="005941C9" w:rsidRDefault="005941C9" w:rsidP="005941C9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Указанные изменения вводятся с 01 января 2014 года, что также соответствует требованиям ст.5 Налогового кодекса Российской Федерации.</w:t>
      </w:r>
    </w:p>
    <w:p w:rsidR="005941C9" w:rsidRDefault="005941C9" w:rsidP="005941C9">
      <w:pPr>
        <w:pStyle w:val="listparagraph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Согласно пояснительной записке к проекту решения его принятие направлено на увеличение поступлений земельного налога в бюджет Полевского городского округа как одного из основных источников налоговых доходов местного бюджета, при этом, не приводится обоснований в части экономического эффекта и оценки последствий для Полевского городского округа в отношении предлагаемой к утверждению налоговой ставки.</w:t>
      </w:r>
    </w:p>
    <w:p w:rsidR="005941C9" w:rsidRDefault="005941C9" w:rsidP="005941C9">
      <w:pPr>
        <w:pStyle w:val="listparagraph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В Пояснительной записке к проекту решения сказано, что методика расчета межбюджетных трансфертов из областного бюджета местным бюджетам учитывает максимальный налоговый потенциал территорий и предполагает использование при планировании и утверждении бюджета имеющийся резерв по налоговым и неналоговым доходам.</w:t>
      </w:r>
    </w:p>
    <w:p w:rsidR="005941C9" w:rsidRDefault="005941C9" w:rsidP="005941C9">
      <w:pPr>
        <w:pStyle w:val="listparagraph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При этом предлагается установить ставку налога в отношении земель, занятых объектами промышленности, с использованием налогового потенциала только на 86,7%.  Не использованный резерв начисления земельного налога на 2014 год составит 35 440,03 тыс. руб.</w:t>
      </w:r>
    </w:p>
    <w:p w:rsidR="005941C9" w:rsidRDefault="005941C9" w:rsidP="005941C9">
      <w:pPr>
        <w:pStyle w:val="a3"/>
        <w:spacing w:before="195" w:beforeAutospacing="0" w:after="0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Исходя из вышеизложенного, предлагаем учесть замечания при рассмотрении проекта решения.</w:t>
      </w:r>
    </w:p>
    <w:p w:rsidR="005941C9" w:rsidRDefault="005941C9" w:rsidP="005941C9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Председатель Счетной палаты                                                           </w:t>
      </w:r>
    </w:p>
    <w:p w:rsidR="005941C9" w:rsidRDefault="005941C9" w:rsidP="005941C9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>Полевского городского округа                                                           И.М. Зюзева</w:t>
      </w:r>
    </w:p>
    <w:p w:rsidR="00C815D9" w:rsidRDefault="00C815D9">
      <w:bookmarkStart w:id="0" w:name="_GoBack"/>
      <w:bookmarkEnd w:id="0"/>
    </w:p>
    <w:sectPr w:rsidR="00C81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A0"/>
    <w:rsid w:val="005941C9"/>
    <w:rsid w:val="007266A0"/>
    <w:rsid w:val="00C8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41C9"/>
    <w:rPr>
      <w:b/>
      <w:bCs/>
    </w:rPr>
  </w:style>
  <w:style w:type="paragraph" w:customStyle="1" w:styleId="listparagraph">
    <w:name w:val="listparagraph"/>
    <w:basedOn w:val="a"/>
    <w:rsid w:val="0059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41C9"/>
    <w:rPr>
      <w:b/>
      <w:bCs/>
    </w:rPr>
  </w:style>
  <w:style w:type="paragraph" w:customStyle="1" w:styleId="listparagraph">
    <w:name w:val="listparagraph"/>
    <w:basedOn w:val="a"/>
    <w:rsid w:val="0059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2026-04-09T12:05:00Z</dcterms:created>
  <dcterms:modified xsi:type="dcterms:W3CDTF">2026-04-09T12:05:00Z</dcterms:modified>
</cp:coreProperties>
</file>