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Полевского городского округа об исполнении местного</w:t>
      </w:r>
      <w:r w:rsidRPr="004D42B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бюджета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 9 месяцев 2012 года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07 декабря 2012 г.                                                                                                г. Полевской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9 части 2 статьи 9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 и пункта 9 части 1 статьи 8 Положения о Счетной палате Полевского городского округа, утвержденного решением Думы Полевского городского округа от 15.12.2011 N 436 Счетной палатой Полевского городского округа подготовлена информация об исполнении местного бюджета за 9 месяцев 2012 года.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об исполнении бюджета за 9 месяцев 2012 года, согласно требованиям статьи 38 Положения о бюджетном процессе в Полевском городском округе в новой редакции, утвержденного решением Думы Полевского городского округа от 10.02.2009 N 734 (далее – Положение о бюджетном процессе), утвержден постановлением Главы Полевского городского округа от 25.10.2012 № 2200 «Об утверждении отчета об исполнении бюджета Полевского городского округа за 9 месяцев 2012 года».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пункта 5 статьи 264.2 Бюджетного кодекса Российской Федерации отчет об исполнении местного бюджета за девять месяцев текущего финансового года должен утверждаться местной администрацией и направляться в представительный орган и созданный им орган муниципального финансового контроля.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представления утвержденного отчета в Счетную палату, установленные частью второй статьи 38 Положения о бюджетном процессе, не соблюдены.  Отчет передан в Счетную палату 04.12.2012 года.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информации изучены следующие материалы: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отчет об исполнении бюджета на 1 октября 2012 года;</w:t>
      </w:r>
    </w:p>
    <w:p w:rsidR="004D42B5" w:rsidRPr="004D42B5" w:rsidRDefault="004D42B5" w:rsidP="004D42B5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информация об исполнении бюджета Полевского городского округа за 9 месяцев 2012 года (вх. № 60 от 30.10.2012).</w:t>
      </w:r>
    </w:p>
    <w:p w:rsidR="004D42B5" w:rsidRPr="004D42B5" w:rsidRDefault="004D42B5" w:rsidP="004D42B5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9 месяцев 2012 года местный бюджет исполнялся в соответствии с решением Думы Полевского городского округа от 29.12.2011 № 450 «О бюджете Полевского городского округа на 2012 год» (далее – решение № 450), постановлением Главы Полевского городского округа от 01.02.2012 № 215 «О мерах по реализации решения Думы Полевского городского округа от 29.12.2011 № 450 «О бюджете Полевского городского округа на 2012 год».</w:t>
      </w:r>
    </w:p>
    <w:p w:rsidR="004D42B5" w:rsidRPr="004D42B5" w:rsidRDefault="004D42B5" w:rsidP="004D42B5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отчетный период бюджет исполнен с профицитом в объеме 36 412,9 тыс. руб., который сложился вследствие выполнения местного бюджета по доходам в сумме 968 800,3 тыс. руб., по расходам  –   932 387,4 тыс. рублей. Наличие 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текущего профицита бюджета при планируемом дефиците определяется недостаточным уровнем бюджетных расходов за 9 месяцев 2012 года.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Доходы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Доходы местного бюджета за январь – сентябрь 2012 года составили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968 800,3 тыс. руб., что на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23 738,8 тыс. руб.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(2,4 %) меньше, чем за 9 месяцев 2011 года.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поступлений за январь – сентябрь 2012 года составил 66,9 % от объема доходов, предусмотренных по решению № 450. В 2011 году данный показатель составлял 68,4 %.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Динамика поступления доходов в местный бюджет по сравнению с    аналогичными показателями 9 месяцев 2011 года и плановыми назначениями, утвержденными решением № 450, представлена в таблице 1.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целом,исполнение по доходам оценивается отрицательно, так как оно фактически не достигло 75 % от плановых назначений.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 Таблица 1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(тыс. руб.)</w:t>
      </w:r>
    </w:p>
    <w:tbl>
      <w:tblPr>
        <w:tblW w:w="0" w:type="auto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2"/>
        <w:gridCol w:w="1394"/>
        <w:gridCol w:w="1226"/>
        <w:gridCol w:w="1394"/>
        <w:gridCol w:w="1498"/>
        <w:gridCol w:w="1464"/>
      </w:tblGrid>
      <w:tr w:rsidR="004D42B5" w:rsidRPr="004D42B5" w:rsidTr="004D42B5">
        <w:trPr>
          <w:trHeight w:val="1177"/>
        </w:trPr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источников доходов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2011 года,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 бюджета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решению № 450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2012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2012 года,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after="0" w:line="368" w:lineRule="atLeast"/>
              <w:ind w:left="-30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Рост (снижение) поступлений к поступлениям за 9 месяцев 2011 года</w:t>
            </w:r>
          </w:p>
          <w:p w:rsidR="004D42B5" w:rsidRPr="004D42B5" w:rsidRDefault="004D42B5" w:rsidP="004D42B5">
            <w:pPr>
              <w:spacing w:after="0" w:line="368" w:lineRule="atLeast"/>
              <w:ind w:left="-30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гр.4-гр.2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Исполнение к решению № 450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гр.4/гр.3*100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399145,5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781125,4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507480,0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108334,5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65,0</w:t>
            </w:r>
          </w:p>
        </w:tc>
      </w:tr>
      <w:tr w:rsidR="004D42B5" w:rsidRPr="004D42B5" w:rsidTr="004D42B5">
        <w:trPr>
          <w:trHeight w:val="52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167981,7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407128,8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281882,2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113900,5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69,2</w:t>
            </w:r>
          </w:p>
        </w:tc>
      </w:tr>
      <w:tr w:rsidR="004D42B5" w:rsidRPr="004D42B5" w:rsidTr="004D42B5">
        <w:trPr>
          <w:trHeight w:val="52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единый налог на вмененный доход </w:t>
            </w: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16670,0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25719,6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18991,3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4D42B5" w:rsidRPr="004D42B5" w:rsidTr="004D42B5">
        <w:trPr>
          <w:trHeight w:val="407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112,7</w:t>
            </w:r>
          </w:p>
        </w:tc>
      </w:tr>
      <w:tr w:rsidR="004D42B5" w:rsidRPr="004D42B5" w:rsidTr="004D42B5">
        <w:trPr>
          <w:trHeight w:val="52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3491,1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2482,5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46,5</w:t>
            </w:r>
          </w:p>
        </w:tc>
      </w:tr>
      <w:tr w:rsidR="004D42B5" w:rsidRPr="004D42B5" w:rsidTr="004D42B5">
        <w:trPr>
          <w:trHeight w:val="23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65081,1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106231,5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74109,8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4D42B5" w:rsidRPr="004D42B5" w:rsidTr="004D42B5">
        <w:trPr>
          <w:trHeight w:val="33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11986,0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-8758,0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66,6</w:t>
            </w:r>
          </w:p>
        </w:tc>
      </w:tr>
      <w:tr w:rsidR="004D42B5" w:rsidRPr="004D42B5" w:rsidTr="004D42B5">
        <w:trPr>
          <w:trHeight w:val="33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4D42B5" w:rsidRPr="004D42B5" w:rsidTr="004D42B5">
        <w:trPr>
          <w:trHeight w:val="96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27341,7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53014,7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33982,9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6641,2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64,1</w:t>
            </w:r>
          </w:p>
        </w:tc>
      </w:tr>
      <w:tr w:rsidR="004D42B5" w:rsidRPr="004D42B5" w:rsidTr="004D42B5">
        <w:trPr>
          <w:trHeight w:val="51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1476,4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-1749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48,9</w:t>
            </w:r>
          </w:p>
        </w:tc>
      </w:tr>
      <w:tr w:rsidR="004D42B5" w:rsidRPr="004D42B5" w:rsidTr="004D42B5">
        <w:trPr>
          <w:trHeight w:val="692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доходы от </w:t>
            </w: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оказания платных услуг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34181,8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29239,9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27036,5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-7145,3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92,5</w:t>
            </w:r>
          </w:p>
        </w:tc>
      </w:tr>
      <w:tr w:rsidR="004D42B5" w:rsidRPr="004D42B5" w:rsidTr="004D42B5">
        <w:trPr>
          <w:trHeight w:val="686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66573,9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141920,3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61028,3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-5545,6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43,0</w:t>
            </w:r>
          </w:p>
        </w:tc>
      </w:tr>
      <w:tr w:rsidR="004D42B5" w:rsidRPr="004D42B5" w:rsidTr="004D42B5">
        <w:trPr>
          <w:trHeight w:val="52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2432,2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2181,4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-2858,7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89,7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4D42B5" w:rsidRPr="004D42B5" w:rsidTr="004D42B5">
        <w:trPr>
          <w:trHeight w:val="462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</w:t>
            </w:r>
          </w:p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593393,6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666758,6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461320,3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-132073,3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69,2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258718,0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186806,9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113771,2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-144946,8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60,9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субвенции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264864,1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437674,3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320366,3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55502,2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73,2</w:t>
            </w:r>
          </w:p>
        </w:tc>
      </w:tr>
      <w:tr w:rsidR="004D42B5" w:rsidRPr="004D42B5" w:rsidTr="004D42B5">
        <w:trPr>
          <w:trHeight w:val="48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64013,6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31801,0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31502,0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-32511,6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99,1</w:t>
            </w:r>
          </w:p>
        </w:tc>
      </w:tr>
      <w:tr w:rsidR="004D42B5" w:rsidRPr="004D42B5" w:rsidTr="004D42B5">
        <w:trPr>
          <w:trHeight w:val="48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безвозмездные поступления от негосударственных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203,7</w:t>
            </w:r>
          </w:p>
        </w:tc>
      </w:tr>
      <w:tr w:rsidR="004D42B5" w:rsidRPr="004D42B5" w:rsidTr="004D42B5">
        <w:trPr>
          <w:trHeight w:val="48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прочие 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-4860,3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223,9</w:t>
            </w:r>
          </w:p>
        </w:tc>
      </w:tr>
      <w:tr w:rsidR="004D42B5" w:rsidRPr="004D42B5" w:rsidTr="004D42B5">
        <w:trPr>
          <w:trHeight w:val="511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возврат остатков межбюджетных трансфертов прошлых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-1830,1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-12688,9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-10858,8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4D42B5" w:rsidRPr="004D42B5" w:rsidTr="004D42B5">
        <w:trPr>
          <w:trHeight w:val="27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992539,1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1447884,0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968800,3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-23738,8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</w:tbl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следует из представленных данных, все налоговые и неналоговые доходы поступили в местный бюджет в большем объеме, чем за девять месяцев 2011 года. Годовые бюджетные назначения исполнены от 64,1 % (по доходам от использования имущества, находящегося в государственной и муниципальной собственности) до 112,7 % (по единому сельскохозяйственному налогу). Низкое исполнение годовых бюджетных назначений (менее половины): 43,0 % − доходы от продажи материальных и нематериальных активов, 46,5 % - налог на имущество физических лиц  и 48,9 % − платежи при пользовании природными ресурсами.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январь – сентябрь 2012 года налога на доходы физических лиц поступило в доходы местного бюджета 281 882,2 тыс. руб., что на 113 900,5 тыс. руб. больше, чем за аналогичный период прошлого года. В сопоставимых условиях поступление налога увеличилось на 15 854,6 тыс. руб. Годовые бюджетные назначения исполнены на 69,2 %. 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 налога поступило в доходы местного бюджета 74 109,8 тыс. руб., что на 9 028,7 тыс. руб. больше, чем за аналогичный период прошлого года. Годовые бюджетные назначения исполнены на 69,8 %.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Доходов от продажи материальных активов поступило в доходы местного бюджета 61 028,3 тыс. руб., что на 5 545,6 тыс. руб. меньше, чем за аналогичный период прошлого года. Годовые бюджетные назначения исполнены на 43,0 %.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Дотаций поступило на 4 934,0 тыс. руб. больше, чем за аналогичный период прошлого года, бюджетные назначения исполнены на 75,0 %, сумма средств предусмотрена решением № 450 на 187,7 % больше, чем на 2011 год.</w:t>
      </w:r>
    </w:p>
    <w:p w:rsidR="004D42B5" w:rsidRPr="004D42B5" w:rsidRDefault="004D42B5" w:rsidP="004D42B5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Субвенций поступило на 55 502,2 тыс. руб. больше, чем за девять месяцев 2011 года, бюджетные назначения исполнены на 73,2 %, сумма средств предусмотрена решением № 450 на 13,3 % больше, чем на 2011 год.</w:t>
      </w:r>
    </w:p>
    <w:p w:rsidR="004D42B5" w:rsidRPr="004D42B5" w:rsidRDefault="004D42B5" w:rsidP="004D42B5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Субсидий поступило на 144 946,8 тыс. руб. меньше, чем за аналогичный период прошлого года, бюджетные назначения исполнены на 60,9 %, сумма средств предусмотрена решением № 450 на 45,7 % меньше, чем на 2011 год.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Иных межбюджетных трансфертов поступило на 32 511,6 тыс. руб. меньше, чем за девять месяцев 2011 года, бюджетные назначения по межбюджетным трансфертам исполнены на 99,1 %, сумма средств предусмотрена решением № 450 на 50,5 % меньше, чем на 2011 год.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Расходы</w:t>
      </w:r>
    </w:p>
    <w:p w:rsidR="004D42B5" w:rsidRPr="004D42B5" w:rsidRDefault="004D42B5" w:rsidP="004D42B5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Расходы  местного бюджета за 9 месяцев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2012 года составили 932 387,3 тыс. руб., что на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31 739,2 тыс. руб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(3,3 %) меньше, чем за 9 месяцев 2011 года.</w:t>
      </w:r>
    </w:p>
    <w:p w:rsidR="004D42B5" w:rsidRPr="004D42B5" w:rsidRDefault="004D42B5" w:rsidP="004D42B5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расходов за январь – сентябрь 2012 года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составил 63,8 % годовых плановых назначений,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утвержденных решением № 450</w:t>
      </w: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2011 году данный показатель равен 65,7 %.</w:t>
      </w:r>
    </w:p>
    <w:p w:rsidR="004D42B5" w:rsidRPr="004D42B5" w:rsidRDefault="004D42B5" w:rsidP="004D42B5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исполнения плановых назначений местного бюджета по расходам в разрезе разделов и подразделов классификации расходов бюджетов в течение 9 месяцев 2012 года в сравнении с аналогичным периодом 2011 года представлен в таблице 2. 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</w:t>
      </w:r>
      <w:r w:rsidRPr="004D4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Таблица 2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                                                                 (тыс. руб.)</w:t>
      </w:r>
    </w:p>
    <w:tbl>
      <w:tblPr>
        <w:tblW w:w="0" w:type="auto"/>
        <w:tblInd w:w="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2519"/>
        <w:gridCol w:w="1100"/>
        <w:gridCol w:w="982"/>
        <w:gridCol w:w="1052"/>
        <w:gridCol w:w="1100"/>
        <w:gridCol w:w="982"/>
        <w:gridCol w:w="1129"/>
      </w:tblGrid>
      <w:tr w:rsidR="004D42B5" w:rsidRPr="004D42B5" w:rsidTr="004D42B5">
        <w:trPr>
          <w:trHeight w:val="270"/>
        </w:trPr>
        <w:tc>
          <w:tcPr>
            <w:tcW w:w="6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275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раздела, подраздела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2011 год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 год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Рост (снижение) расходов к расходам за 9 месяцев 2011 года</w:t>
            </w:r>
          </w:p>
        </w:tc>
      </w:tr>
      <w:tr w:rsidR="004D42B5" w:rsidRPr="004D42B5" w:rsidTr="004D42B5">
        <w:trPr>
          <w:trHeight w:val="60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выполне-ние на 01.10.2011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 выполне ния к решению о бюджете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объем бюджета по решению № 450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выполне-ние на 01.10.2012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 выполне ния к решению № 450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4D42B5" w:rsidRPr="004D42B5" w:rsidTr="004D42B5">
        <w:trPr>
          <w:trHeight w:val="7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2012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2B5" w:rsidRPr="004D42B5" w:rsidRDefault="004D42B5" w:rsidP="004D42B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4D42B5" w:rsidRPr="004D42B5" w:rsidTr="004D42B5">
        <w:trPr>
          <w:trHeight w:val="27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D42B5" w:rsidRPr="004D42B5" w:rsidTr="004D42B5">
        <w:trPr>
          <w:trHeight w:val="39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48066,4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64432,3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45446,9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-2619,5</w:t>
            </w:r>
          </w:p>
        </w:tc>
      </w:tr>
      <w:tr w:rsidR="004D42B5" w:rsidRPr="004D42B5" w:rsidTr="004D42B5">
        <w:trPr>
          <w:trHeight w:val="81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Российской Федерации </w:t>
            </w: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766,0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16,8</w:t>
            </w:r>
          </w:p>
        </w:tc>
      </w:tr>
      <w:tr w:rsidR="004D42B5" w:rsidRPr="004D42B5" w:rsidTr="004D42B5">
        <w:trPr>
          <w:trHeight w:val="11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0103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3352,6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5637,8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693,0</w:t>
            </w:r>
          </w:p>
        </w:tc>
      </w:tr>
      <w:tr w:rsidR="004D42B5" w:rsidRPr="004D42B5" w:rsidTr="004D42B5">
        <w:trPr>
          <w:trHeight w:val="73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Функционирование Правительства 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22698,1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35205,2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26112,1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3414,0</w:t>
            </w:r>
          </w:p>
        </w:tc>
      </w:tr>
      <w:tr w:rsidR="004D42B5" w:rsidRPr="004D42B5" w:rsidTr="004D42B5">
        <w:trPr>
          <w:trHeight w:val="96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533,1</w:t>
            </w:r>
          </w:p>
        </w:tc>
      </w:tr>
      <w:tr w:rsidR="004D42B5" w:rsidRPr="004D42B5" w:rsidTr="004D42B5">
        <w:trPr>
          <w:trHeight w:val="27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D42B5" w:rsidRPr="004D42B5" w:rsidTr="004D42B5">
        <w:trPr>
          <w:trHeight w:val="33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14987,5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-7276,4</w:t>
            </w:r>
          </w:p>
        </w:tc>
      </w:tr>
      <w:tr w:rsidR="004D42B5" w:rsidRPr="004D42B5" w:rsidTr="004D42B5">
        <w:trPr>
          <w:trHeight w:val="51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Национальная безопасность и </w:t>
            </w: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1344,3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7337,8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3412,7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2068,4</w:t>
            </w:r>
          </w:p>
        </w:tc>
      </w:tr>
      <w:tr w:rsidR="004D42B5" w:rsidRPr="004D42B5" w:rsidTr="004D42B5">
        <w:trPr>
          <w:trHeight w:val="99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0309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Защита населения и территорий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4762,3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2438,3</w:t>
            </w:r>
          </w:p>
        </w:tc>
      </w:tr>
      <w:tr w:rsidR="004D42B5" w:rsidRPr="004D42B5" w:rsidTr="004D42B5">
        <w:trPr>
          <w:trHeight w:val="34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-281,2</w:t>
            </w:r>
          </w:p>
        </w:tc>
      </w:tr>
      <w:tr w:rsidR="004D42B5" w:rsidRPr="004D42B5" w:rsidTr="004D42B5">
        <w:trPr>
          <w:trHeight w:val="73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-88,7</w:t>
            </w:r>
          </w:p>
        </w:tc>
      </w:tr>
      <w:tr w:rsidR="004D42B5" w:rsidRPr="004D42B5" w:rsidTr="004D42B5">
        <w:trPr>
          <w:trHeight w:val="42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5701,8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89081,3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49665,6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43963,8</w:t>
            </w:r>
          </w:p>
        </w:tc>
      </w:tr>
      <w:tr w:rsidR="004D42B5" w:rsidRPr="004D42B5" w:rsidTr="004D42B5">
        <w:trPr>
          <w:trHeight w:val="27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0406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-203,0</w:t>
            </w:r>
          </w:p>
        </w:tc>
      </w:tr>
      <w:tr w:rsidR="004D42B5" w:rsidRPr="004D42B5" w:rsidTr="004D42B5">
        <w:trPr>
          <w:trHeight w:val="2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0407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Лесное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394,8</w:t>
            </w:r>
          </w:p>
        </w:tc>
      </w:tr>
      <w:tr w:rsidR="004D42B5" w:rsidRPr="004D42B5" w:rsidTr="004D42B5">
        <w:trPr>
          <w:trHeight w:val="2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76169,1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43231,7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43231,7</w:t>
            </w:r>
          </w:p>
        </w:tc>
      </w:tr>
      <w:tr w:rsidR="004D42B5" w:rsidRPr="004D42B5" w:rsidTr="004D42B5">
        <w:trPr>
          <w:trHeight w:val="49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5271,1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10346,5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540,3</w:t>
            </w:r>
          </w:p>
        </w:tc>
      </w:tr>
      <w:tr w:rsidR="004D42B5" w:rsidRPr="004D42B5" w:rsidTr="004D42B5">
        <w:trPr>
          <w:trHeight w:val="37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050</w:t>
            </w: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Жилищно-коммунальное </w:t>
            </w: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67308,9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161799,4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60065,6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-7243,3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0501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7409,3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62898,9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17847,3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10438,0</w:t>
            </w:r>
          </w:p>
        </w:tc>
      </w:tr>
      <w:tr w:rsidR="004D42B5" w:rsidRPr="004D42B5" w:rsidTr="004D42B5">
        <w:trPr>
          <w:trHeight w:val="2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60693,4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15424,3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13492,6</w:t>
            </w:r>
          </w:p>
        </w:tc>
      </w:tr>
      <w:tr w:rsidR="004D42B5" w:rsidRPr="004D42B5" w:rsidTr="004D42B5">
        <w:trPr>
          <w:trHeight w:val="27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43170,8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19451,2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13083,0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-30087,8</w:t>
            </w:r>
          </w:p>
        </w:tc>
      </w:tr>
      <w:tr w:rsidR="004D42B5" w:rsidRPr="004D42B5" w:rsidTr="004D42B5">
        <w:trPr>
          <w:trHeight w:val="49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14797,1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18755,9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-1086,1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150,9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551760,2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908949,6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617357,8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65597,6</w:t>
            </w:r>
          </w:p>
        </w:tc>
      </w:tr>
      <w:tr w:rsidR="004D42B5" w:rsidRPr="004D42B5" w:rsidTr="004D42B5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221180,0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362160,4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231883,1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10703,1</w:t>
            </w:r>
          </w:p>
        </w:tc>
      </w:tr>
      <w:tr w:rsidR="004D42B5" w:rsidRPr="004D42B5" w:rsidTr="004D42B5">
        <w:trPr>
          <w:trHeight w:val="2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284145,3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491998,9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342507,0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58361,7</w:t>
            </w:r>
          </w:p>
        </w:tc>
      </w:tr>
      <w:tr w:rsidR="004D42B5" w:rsidRPr="004D42B5" w:rsidTr="004D42B5">
        <w:trPr>
          <w:trHeight w:val="51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31932,7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32989,8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27506,7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-4426,0</w:t>
            </w:r>
          </w:p>
        </w:tc>
      </w:tr>
      <w:tr w:rsidR="004D42B5" w:rsidRPr="004D42B5" w:rsidTr="004D42B5">
        <w:trPr>
          <w:trHeight w:val="33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 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14502,2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21800,5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15461,0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958,8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34690,9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61415,8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41740,7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7049,8</w:t>
            </w:r>
          </w:p>
        </w:tc>
      </w:tr>
      <w:tr w:rsidR="004D42B5" w:rsidRPr="004D42B5" w:rsidTr="004D42B5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0801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29923,2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55469,8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36742,6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6819,4</w:t>
            </w:r>
          </w:p>
        </w:tc>
      </w:tr>
      <w:tr w:rsidR="004D42B5" w:rsidRPr="004D42B5" w:rsidTr="004D42B5">
        <w:trPr>
          <w:trHeight w:val="51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4767,7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5946,0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230,4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0900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156763,1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4325,4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4187,1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-152576,0</w:t>
            </w:r>
          </w:p>
        </w:tc>
      </w:tr>
      <w:tr w:rsidR="004D42B5" w:rsidRPr="004D42B5" w:rsidTr="004D42B5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Стационарная медицинская помощь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51966,6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-48591,2</w:t>
            </w:r>
          </w:p>
        </w:tc>
      </w:tr>
      <w:tr w:rsidR="004D42B5" w:rsidRPr="004D42B5" w:rsidTr="004D42B5">
        <w:trPr>
          <w:trHeight w:val="33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Амбулаторная помощь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71663,6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-71663,6</w:t>
            </w:r>
          </w:p>
        </w:tc>
      </w:tr>
      <w:tr w:rsidR="004D42B5" w:rsidRPr="004D42B5" w:rsidTr="004D42B5">
        <w:trPr>
          <w:trHeight w:val="49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1499,8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-1499,8</w:t>
            </w:r>
          </w:p>
        </w:tc>
      </w:tr>
      <w:tr w:rsidR="004D42B5" w:rsidRPr="004D42B5" w:rsidTr="004D42B5">
        <w:trPr>
          <w:trHeight w:val="33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0904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Скорая медицинская помощь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30469,7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-30469,7</w:t>
            </w:r>
          </w:p>
        </w:tc>
      </w:tr>
      <w:tr w:rsidR="004D42B5" w:rsidRPr="004D42B5" w:rsidTr="004D42B5">
        <w:trPr>
          <w:trHeight w:val="75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0906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-472,5</w:t>
            </w:r>
          </w:p>
        </w:tc>
      </w:tr>
      <w:tr w:rsidR="004D42B5" w:rsidRPr="004D42B5" w:rsidTr="004D42B5">
        <w:trPr>
          <w:trHeight w:val="73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0909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здравоохранения, физической культуры и спорта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120,8</w:t>
            </w:r>
          </w:p>
        </w:tc>
      </w:tr>
      <w:tr w:rsidR="004D42B5" w:rsidRPr="004D42B5" w:rsidTr="004D42B5">
        <w:trPr>
          <w:trHeight w:val="36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91265,3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137964,7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89620,3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-1645,0</w:t>
            </w:r>
          </w:p>
        </w:tc>
      </w:tr>
      <w:tr w:rsidR="004D42B5" w:rsidRPr="004D42B5" w:rsidTr="004D42B5">
        <w:trPr>
          <w:trHeight w:val="31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1001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684,3</w:t>
            </w:r>
          </w:p>
        </w:tc>
      </w:tr>
      <w:tr w:rsidR="004D42B5" w:rsidRPr="004D42B5" w:rsidTr="004D42B5">
        <w:trPr>
          <w:trHeight w:val="2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87738,0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128680,2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-3006,3</w:t>
            </w:r>
          </w:p>
        </w:tc>
      </w:tr>
      <w:tr w:rsidR="004D42B5" w:rsidRPr="004D42B5" w:rsidTr="004D42B5">
        <w:trPr>
          <w:trHeight w:val="49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2273,8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7258,8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677,0</w:t>
            </w:r>
          </w:p>
        </w:tc>
      </w:tr>
      <w:tr w:rsidR="004D42B5" w:rsidRPr="004D42B5" w:rsidTr="004D42B5">
        <w:trPr>
          <w:trHeight w:val="37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4601,6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20310,2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16983,8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12382,2</w:t>
            </w:r>
          </w:p>
        </w:tc>
      </w:tr>
      <w:tr w:rsidR="004D42B5" w:rsidRPr="004D42B5" w:rsidTr="004D42B5">
        <w:trPr>
          <w:trHeight w:val="37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2116,2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2878,7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2189,6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73,4</w:t>
            </w:r>
          </w:p>
        </w:tc>
      </w:tr>
      <w:tr w:rsidR="004D42B5" w:rsidRPr="004D42B5" w:rsidTr="004D42B5">
        <w:trPr>
          <w:trHeight w:val="34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Телевидение и радиовещание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-162,1</w:t>
            </w:r>
          </w:p>
        </w:tc>
      </w:tr>
      <w:tr w:rsidR="004D42B5" w:rsidRPr="004D42B5" w:rsidTr="004D42B5">
        <w:trPr>
          <w:trHeight w:val="34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1778,7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235,5</w:t>
            </w:r>
          </w:p>
        </w:tc>
      </w:tr>
      <w:tr w:rsidR="004D42B5" w:rsidRPr="004D42B5" w:rsidTr="004D42B5">
        <w:trPr>
          <w:trHeight w:val="6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1073,2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1066,2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1058,5</w:t>
            </w:r>
          </w:p>
        </w:tc>
      </w:tr>
      <w:tr w:rsidR="004D42B5" w:rsidRPr="004D42B5" w:rsidTr="004D42B5">
        <w:trPr>
          <w:trHeight w:val="385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964126,5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1460468,4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932387,3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-31739,2</w:t>
            </w:r>
          </w:p>
        </w:tc>
      </w:tr>
    </w:tbl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данных таблицы, видно, что финансирование за январь - сентябрь 2012 года расходов, распределенных по разделам бюджета, осуществлено в пределах  от 2,0 до 100,0 % от утвержденных бюджетных назначений.         По сравнению с 2011 годом общий процент выполнения к годовым бюджетным назначениям уменьшился с 65,7 до 63,8 %.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финансирования снизился по четырем разделам по сравнению с 2011 годом.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Самый высокий процент выполнения 99,3 % – по разделу 1300 «Обслуживание государственного и муниципального долга» и 96,8 % - по разделу 0900 «Здравоохранение». Самый низкий процент выполнения 37,1 % – по разделу 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0500 «Жилищно-коммунальное хозяйство» и 46,5 % - по разделу 0300 «Национальная безопасность и правоохранительная деятельность». Уровень финансирования остальных разделов варьируется в пределах 55,8 – 83,6 % от годовых бюджетных назначений.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сравнению с аналогичным периодом предыдущего года возрос удельный вес расходов на образование (+9,0 %), национальную экономику (+4,7 %), что свидетельствует о приоритетности данных направлений. Сократилась доля  разделов «Здравоохранение» (-15,8 %) в связи с изменением законодательства. С 2012 года финансирование организации оказания первичной медико-санитарной помощи за счет средств местного бюджета не осуществляется.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Подробнее представлены наиболее бюджетоемкие разделы расходной части бюджета по итогам исполнения за 9 месяцев 2012 года – «Образование», «Социальная политика», «Жилищно-коммунальное хозяйство» и «Национальная экономика».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основная часть расходов относится к подразделу «Общее образование» (55,5 %), по сравнению с 9 месяцами 2011 года доля этого подраздела увеличилась на 4,0 %. При этом, сократилась доля расходов по подразделам «Дошкольное образование» на 2,5 %, «Молодежная политика и оздоровление детей» на 1,4 % и «Другие вопросы в области образования» на 0,1 %.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структуре расходов раздела «Социальная политика» в первой половине 2012 года наибольшие затраты приходились на социальное обеспечение населения (94,5 %). Доля подраздела «Пенсионное обеспечение» составила 2,2 %, подраздела «Другие вопросы в области социальной политики» 3,3 %.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Особое значение имеет структура расходов по разделам «Национальная экономика» и «Жилищно-коммунальное хозяйство», поскольку показывает приоритетные направления развития в этой сфере. В первой половине 2012 года самыми крупными направлениями расходов являлись дорожное хозяйство (39,4 % расходов указанных разделов), жилищное хозяйство (16,3 %), коммунальное хозяйство (14,1 %), благоустройство (11,9 %). Причем расходы на жилищное хозяйство, коммунальное хозяйство и дорожное хозяйство значительно выросли по сравнению с 9 месяцами 2011 года соответственно на 10 438,0 тыс. руб. (140,9 %), на 13 492,6 тыс. руб. (698,5 %) и на 12 924,7 тыс. руб. (42,6 %).  Расходы на благоустройство возросли на 1,7 %. 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 ухудшение финансирования муниципальных целевых программ по сравнению с аналогичным периодом 2011 года.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Так, за 9 месяцев 2011 года расходы на муниципальные целевые программы составили 34 523,3 тыс. руб., или 51,4 %  утвержденных на эти цели  бюджетных назначений. В отчетном периоде 2012 года расходы местного бюджета на реализацию мероприятий муниципальных целевых программ составили 27 160,6 тыс. руб., или 32,9 % от запланированного объема.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20 муниципальных целевых программ по 2 исполнение составило ноль процентов – «Энергосбережение и повышение энергетической эффективности на территории Полевского городского округа на 2010-2020 годы» и «Обеспечение жильем молодых семей на территории Полевского городского округа на 2011-2015 годы».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Очень низкий процент исполнения (менее половины) имеют 12 муниципальных целевых программ: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«Комплексное благоустройство дворовых территорий г. Полевского «Любимый мой дворик» на 2011-2015 годы» (в рамках областной целевой программы «Комплексное благоустройство дворовых территорий в муниципальных образованиях Свердловской области – Тысяча дворов» на 2011-2015 годы) (3,35 % от общего объема расходов на программу);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«Анти-ВИЧ/СПИД на 2012 год» (7,93 %);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«Управление муниципальной собственностью Полевского городского округа на 2012-2014 годы» (13,66 %);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газовых серей Полевского городского округа на 2011-2015 годы» (17,35 %);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сети дошкольных образовательных учреждений в Полевском городском округе на 2010-2014 годы» (19,31 %);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и модернизация объектов коммунальной инфраструктуры Полевского городского округа на 2012-2015 годы» (23,73 %);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«Информационное общество Полевского городского округа на 2011-2015 годы» (24,65 %);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«Молодежь Полевского на 2011-2013 годы» (31,31 %);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«Патриотическое воспитание молодежи Полевского городского округа на 2012 год» (36,08 %);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первичных мер пожарной безопасности на 2012 год» (37,83 %);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безопасных условий в муниципальных образовательных учреждениях Полевского городского округа на 2012 год» (41,96 %);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«Предоставление финансовой поддержки молодым семьям, проживающим на территории Полевского городского округа, на погашение основной суммы долга и процентов по ипотечным жилищным кредитам (займам)» на 2011-2015 годы (46,49 %).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Лучше всего профинансированы следующие муниципальные целевые программы:</w:t>
      </w:r>
    </w:p>
    <w:p w:rsidR="004D42B5" w:rsidRPr="004D42B5" w:rsidRDefault="004D42B5" w:rsidP="004D42B5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«Вакцинопрофилактика инфекционных заболеваний на 2012 – 2014 годы» (99,97 % от общего объема расходов на программу);</w:t>
      </w:r>
    </w:p>
    <w:p w:rsidR="004D42B5" w:rsidRPr="004D42B5" w:rsidRDefault="004D42B5" w:rsidP="004D42B5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«Переселение граждан из ветхого и аварийного жилищного фонда в Полевском городском округе на 2010 – 2013 годы» (100,0 %).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Источники внутреннего финансирования дефицита и расходы</w:t>
      </w:r>
    </w:p>
    <w:p w:rsidR="004D42B5" w:rsidRPr="004D42B5" w:rsidRDefault="004D42B5" w:rsidP="004D42B5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обслуживание муниципального долга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выполнении бюджетных назначений по поступлениям из источников внутреннего финансирования дефицита местного бюджета, а также назначений по их погашению за 9 месяцев</w:t>
      </w:r>
      <w:r w:rsidRPr="004D42B5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.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2012 года приведены в таблице 3.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</w:t>
      </w: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Таблица 3</w:t>
      </w:r>
    </w:p>
    <w:p w:rsidR="004D42B5" w:rsidRPr="004D42B5" w:rsidRDefault="004D42B5" w:rsidP="004D42B5">
      <w:pPr>
        <w:spacing w:before="195" w:after="195" w:line="240" w:lineRule="auto"/>
        <w:ind w:firstLine="720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(тыс. руб.)</w:t>
      </w:r>
    </w:p>
    <w:tbl>
      <w:tblPr>
        <w:tblW w:w="0" w:type="auto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2397"/>
        <w:gridCol w:w="1573"/>
        <w:gridCol w:w="1220"/>
        <w:gridCol w:w="1688"/>
      </w:tblGrid>
      <w:tr w:rsidR="004D42B5" w:rsidRPr="004D42B5" w:rsidTr="004D42B5">
        <w:trPr>
          <w:trHeight w:val="1160"/>
        </w:trPr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бюджетов по бюджетной классификации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Неисполненные</w:t>
            </w: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назначения</w:t>
            </w:r>
          </w:p>
        </w:tc>
      </w:tr>
      <w:tr w:rsidR="004D42B5" w:rsidRPr="004D42B5" w:rsidTr="004D42B5">
        <w:trPr>
          <w:trHeight w:val="113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2B5" w:rsidRPr="004D42B5" w:rsidRDefault="004D42B5" w:rsidP="004D42B5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D42B5" w:rsidRPr="004D42B5" w:rsidTr="004D42B5">
        <w:trPr>
          <w:trHeight w:val="454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бюджетов – всего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12584,4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-36413,0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48997,4</w:t>
            </w:r>
          </w:p>
        </w:tc>
      </w:tr>
      <w:tr w:rsidR="004D42B5" w:rsidRPr="004D42B5" w:rsidTr="004D42B5">
        <w:trPr>
          <w:trHeight w:val="280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24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42B5" w:rsidRPr="004D42B5" w:rsidTr="004D42B5">
        <w:trPr>
          <w:trHeight w:val="399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90101030000000000000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-3394,5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-3394,5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D42B5" w:rsidRPr="004D42B5" w:rsidTr="004D42B5">
        <w:trPr>
          <w:trHeight w:val="339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на счетах по учету средств бюджета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90101050000000000000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15978,9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-33018,5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42B5" w:rsidRPr="004D42B5" w:rsidRDefault="004D42B5" w:rsidP="004D42B5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D42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48997,4</w:t>
            </w:r>
          </w:p>
        </w:tc>
      </w:tr>
    </w:tbl>
    <w:p w:rsidR="004D42B5" w:rsidRPr="004D42B5" w:rsidRDefault="004D42B5" w:rsidP="004D42B5">
      <w:pPr>
        <w:spacing w:before="195" w:after="195" w:line="200" w:lineRule="atLeast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4D42B5" w:rsidRPr="004D42B5" w:rsidRDefault="004D42B5" w:rsidP="004D42B5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Решением о бюджете Полевского городского округа на 2012 год установлено, что предоставление муниципальных гарантий и бюджетных кредитов из местного бюджета не предусмотрено.  В течение 9 месяцев 2012 года муниципальные гарантии и бюджетные кредиты из местного бюджета не предоставлялись.</w:t>
      </w:r>
    </w:p>
    <w:p w:rsidR="004D42B5" w:rsidRPr="004D42B5" w:rsidRDefault="004D42B5" w:rsidP="004D42B5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Погашение муниципальных долговых обязательств Полевского городского округа за 9 месяцев 2012 года составило 3 394,5 тыс. руб. (100 %).</w:t>
      </w:r>
    </w:p>
    <w:p w:rsidR="004D42B5" w:rsidRPr="004D42B5" w:rsidRDefault="004D42B5" w:rsidP="004D42B5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 местного бюджета на обслуживание муниципального долга в течение 9 месяцев 2012 года израсходованы в сумме 1 066,2 тыс. руб.       (99,35 %).  </w:t>
      </w:r>
    </w:p>
    <w:p w:rsidR="004D42B5" w:rsidRPr="004D42B5" w:rsidRDefault="004D42B5" w:rsidP="004D42B5">
      <w:pPr>
        <w:spacing w:before="195" w:after="195" w:line="240" w:lineRule="auto"/>
        <w:ind w:firstLine="709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Проблемы исполнения местного бюджета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Значительные проблемы реализации расходной части бюджета определены в области жилищно-коммунального хозяйства. В течение 9 месяцев 2012 года расходы по этому направлению составили 37,1 %. Исполнение расходов бюджета ни по одному из подразделов данного раздела не достигает 75 %. Большинство показателей значительно отстает от данного значения.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бюджета по расходам на жилищное и коммунальное хозяйство менее чем на треть влечет существенные риски невыполнения плана годовых расходов в 2012 году, снижения обеспеченности населения коммунальными услугами, неподготовленности коммунальной инфраструктуры к отопительному сезону, срыва других работ, имеющих сезонный характер, как следствие, снижения качества жизни населения.</w:t>
      </w:r>
    </w:p>
    <w:p w:rsidR="004D42B5" w:rsidRPr="004D42B5" w:rsidRDefault="004D42B5" w:rsidP="004D42B5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Кроме того, риск негативных последствий для качества жизни населения возникает вследствие неравномерного использования бюджетных средств по подразделам «Обеспечение пожарной безопасности» (реализовано на 37,8 %) и «Водное хозяйство» (реализовано на 2,0 %).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Близкое к 75 % порогу и превышающее его исполнение бюджета по расходам за 9 месяцев производится, как правило, по направлениям, предусматривающим прямые денежные выплаты, при относительно простом администрировании выделения средств.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равномерности использования бюджетных средств в сторону увеличения доли расходов, приходящихся на последние три месяца года, имеет место, как правило, в направлениях, требующих  размещения заказов на поставки товаров, выполнение работ, оказание услуг для муниципальных нужд, и предусматривающих наличие трудоемких, технологоемких процессов. 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Негативное влияние на ход исполнения местного бюджета в целом имеет доведение предельных объёмов оплаты денежных обязательств, которое влечет неисполнение либо неравномерное исполнение бюджета, ограничивает бюджетные права главных распорядителей и получателей бюджетных средств, приводит к образованию кредиторской задолженности.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                               И.М. Зюзева</w:t>
      </w:r>
    </w:p>
    <w:p w:rsidR="004D42B5" w:rsidRPr="004D42B5" w:rsidRDefault="004D42B5" w:rsidP="004D42B5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D4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</w:t>
      </w:r>
    </w:p>
    <w:p w:rsidR="00F762D1" w:rsidRDefault="00F762D1">
      <w:bookmarkStart w:id="0" w:name="_GoBack"/>
      <w:bookmarkEnd w:id="0"/>
    </w:p>
    <w:sectPr w:rsidR="00F7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FE3"/>
    <w:rsid w:val="00134FE3"/>
    <w:rsid w:val="004D42B5"/>
    <w:rsid w:val="00F7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42B5"/>
    <w:rPr>
      <w:b/>
      <w:bCs/>
    </w:rPr>
  </w:style>
  <w:style w:type="paragraph" w:customStyle="1" w:styleId="a00">
    <w:name w:val="a0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42B5"/>
    <w:rPr>
      <w:b/>
      <w:bCs/>
    </w:rPr>
  </w:style>
  <w:style w:type="paragraph" w:customStyle="1" w:styleId="a00">
    <w:name w:val="a0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3278</Words>
  <Characters>18689</Characters>
  <Application>Microsoft Office Word</Application>
  <DocSecurity>0</DocSecurity>
  <Lines>155</Lines>
  <Paragraphs>43</Paragraphs>
  <ScaleCrop>false</ScaleCrop>
  <Company/>
  <LinksUpToDate>false</LinksUpToDate>
  <CharactersWithSpaces>21924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2026-04-09T12:29:00Z</dcterms:created>
  <dcterms:modified xsi:type="dcterms:W3CDTF">2026-04-09T12:29:00Z</dcterms:modified>
</cp:coreProperties>
</file>