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900" w:rsidRDefault="00CC7900" w:rsidP="00CC7900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CC7900" w:rsidRDefault="00CC7900" w:rsidP="00CC7900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на проект решения Думы Полевского городского округа «Об утверждении Положения</w:t>
      </w:r>
    </w:p>
    <w:p w:rsidR="00CC7900" w:rsidRDefault="00CC7900" w:rsidP="00CC7900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«О порядке предоставления нежилых помещений политическим партиям (объединениям) на территории Полевского городского округа»</w:t>
      </w:r>
    </w:p>
    <w:p w:rsidR="00CC7900" w:rsidRDefault="00CC7900" w:rsidP="00CC790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07 ноября 2012 г.                                                                                                                    г.Полевской</w:t>
      </w:r>
    </w:p>
    <w:p w:rsidR="00CC7900" w:rsidRDefault="00CC7900" w:rsidP="00CC790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 В соответствии с подпунктом «б» пункта 1 ст. 32 Федерального закона от 11.07.2001 № 95-ФЗ «О политических партиях», поддержка политических партий осуществляется органами местного самоуправления посредством создания равных условий предоставления помещений, находящихся в муниципальной собственности, </w:t>
      </w:r>
      <w:r>
        <w:rPr>
          <w:rStyle w:val="a4"/>
          <w:rFonts w:ascii="Arial" w:hAnsi="Arial" w:cs="Arial"/>
          <w:color w:val="000000"/>
        </w:rPr>
        <w:t>на условиях, аналогичных условиям их предоставления муниципальным учреждениям</w:t>
      </w:r>
      <w:r>
        <w:rPr>
          <w:rFonts w:ascii="Arial" w:hAnsi="Arial" w:cs="Arial"/>
          <w:color w:val="000000"/>
        </w:rPr>
        <w:t>.</w:t>
      </w:r>
    </w:p>
    <w:p w:rsidR="00CC7900" w:rsidRDefault="00CC7900" w:rsidP="00CC7900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 Статьей 51 Федерального закона от 06.10.2003 № 131-ФЗ «Об общих принципах организации местного самоуправления в Российской Федерации» предусмотрено, что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 </w:t>
      </w:r>
      <w:hyperlink r:id="rId5" w:history="1">
        <w:r>
          <w:rPr>
            <w:rStyle w:val="a5"/>
            <w:rFonts w:ascii="Tahoma" w:hAnsi="Tahoma" w:cs="Tahoma"/>
            <w:color w:val="auto"/>
            <w:u w:val="none"/>
          </w:rPr>
          <w:t>Конституцией</w:t>
        </w:r>
      </w:hyperlink>
      <w:r>
        <w:rPr>
          <w:rFonts w:ascii="Arial" w:hAnsi="Arial" w:cs="Arial"/>
          <w:color w:val="000000"/>
        </w:rPr>
        <w:t> Российской Федерации, федеральными законами и принимаемыми в соответствии с ними нормативными правовыми актами органов местного самоуправления, вправе передавать муниципальное имущество во временное или в постоянное пользование физическим и юридическим лицам, органам государственной власти Российской Федерации (органам государственной власти субъекта Российской Федерации) и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:rsidR="00CC7900" w:rsidRDefault="00CC7900" w:rsidP="00CC790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 Данная статья не предусматривает исключений для учреждений.</w:t>
      </w:r>
    </w:p>
    <w:p w:rsidR="00CC7900" w:rsidRDefault="00CC7900" w:rsidP="00CC790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 Таким образом, наряду с возможностью передачи нежилых помещений в безвозмездное пользование политическим партиям, следует рассматривать возможность передачи муниципального имущества во владение и пользование на правах аренды.</w:t>
      </w:r>
    </w:p>
    <w:p w:rsidR="00CC7900" w:rsidRDefault="00CC7900" w:rsidP="00CC790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 Пункт 3 раздела 11 Положения предусматривает рассмотрение заявления политической партии о предоставлении нежилого помещения Главой ПГО в течение 5–ти рабочих  дней, а затем Глава ПГО </w:t>
      </w:r>
      <w:r>
        <w:rPr>
          <w:rStyle w:val="a4"/>
          <w:rFonts w:ascii="Arial" w:hAnsi="Arial" w:cs="Arial"/>
          <w:color w:val="000000"/>
        </w:rPr>
        <w:t>направляет рассмотренное заявление</w:t>
      </w:r>
      <w:r>
        <w:rPr>
          <w:rFonts w:ascii="Arial" w:hAnsi="Arial" w:cs="Arial"/>
          <w:color w:val="000000"/>
        </w:rPr>
        <w:t> с приложенными документами </w:t>
      </w:r>
      <w:r>
        <w:rPr>
          <w:rStyle w:val="a4"/>
          <w:rFonts w:ascii="Arial" w:hAnsi="Arial" w:cs="Arial"/>
          <w:color w:val="000000"/>
        </w:rPr>
        <w:t>на рассмотрение в УМИ</w:t>
      </w:r>
      <w:r>
        <w:rPr>
          <w:rFonts w:ascii="Arial" w:hAnsi="Arial" w:cs="Arial"/>
          <w:color w:val="000000"/>
        </w:rPr>
        <w:t>.       </w:t>
      </w:r>
    </w:p>
    <w:p w:rsidR="00CC7900" w:rsidRDefault="00CC7900" w:rsidP="00CC790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    В связи с вышеизложенным, п</w:t>
      </w:r>
      <w:r>
        <w:rPr>
          <w:rStyle w:val="a4"/>
          <w:rFonts w:ascii="Arial" w:hAnsi="Arial" w:cs="Arial"/>
          <w:color w:val="000000"/>
        </w:rPr>
        <w:t>редлагается</w:t>
      </w:r>
      <w:r>
        <w:rPr>
          <w:rFonts w:ascii="Arial" w:hAnsi="Arial" w:cs="Arial"/>
          <w:color w:val="000000"/>
        </w:rPr>
        <w:t> предусмотреть в Положении следующую процедуру прохождения документов: заявление обращающейся политической партии сразу направляется в УМИ, который проверяет наличие всех документов, достоверность информации и готовит проект решения Думы Полевского городского округа о согласовании передачи нежилого помещения  политической партии, при положительном решении вопроса, а затем, после согласования Думой ПГО, готовит проект постановления Главы Полевского городского округа о предоставлении нежилого помещения политической партии.</w:t>
      </w:r>
    </w:p>
    <w:p w:rsidR="00CC7900" w:rsidRDefault="00CC7900" w:rsidP="00CC790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      Кроме того, учитывая положения Федерального закона «О политических партиях» органы местного самоуправления обязаны создать равные условия предоставления помещений. В вышеуказанном пункте Положения говорится о предоставлении политической партии не более одного помещения. В связи с чем, могут возникнуть проблемы с созданием равных условий: наличие нежилых помещений соответствующей площади, место их нахождения, этажность.  Предлагается рассмотреть возможность в Положении предоставление  одного помещения с достаточной площадью, но для всех партий с указанием режима их нахождения в данном помещении.     </w:t>
      </w:r>
    </w:p>
    <w:p w:rsidR="00CC7900" w:rsidRDefault="00CC7900" w:rsidP="00CC790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    В пункте 9 раздела 11 Положения слова в скобках «(отказе в предоставлении)» – исключить.</w:t>
      </w:r>
    </w:p>
    <w:p w:rsidR="00CC7900" w:rsidRDefault="00CC7900" w:rsidP="00CC790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  На основании изложенного, предлагается рассмотреть вышеуказанные замечания и предложения и доработать проект Положения.     </w:t>
      </w:r>
    </w:p>
    <w:p w:rsidR="00CC7900" w:rsidRDefault="00CC7900" w:rsidP="00CC790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</w:t>
      </w:r>
    </w:p>
    <w:p w:rsidR="00CC7900" w:rsidRDefault="00CC7900" w:rsidP="00CC790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</w:t>
      </w:r>
    </w:p>
    <w:p w:rsidR="00CC7900" w:rsidRDefault="00CC7900" w:rsidP="00CC7900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                                                                                           Т.В. Пряхина</w:t>
      </w:r>
    </w:p>
    <w:p w:rsidR="004E1355" w:rsidRDefault="004E1355">
      <w:bookmarkStart w:id="0" w:name="_GoBack"/>
      <w:bookmarkEnd w:id="0"/>
    </w:p>
    <w:sectPr w:rsidR="004E1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CE6"/>
    <w:rsid w:val="004E1355"/>
    <w:rsid w:val="00B04CE6"/>
    <w:rsid w:val="00CC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79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7900"/>
    <w:rPr>
      <w:b/>
      <w:bCs/>
    </w:rPr>
  </w:style>
  <w:style w:type="character" w:styleId="a5">
    <w:name w:val="Hyperlink"/>
    <w:basedOn w:val="a0"/>
    <w:uiPriority w:val="99"/>
    <w:semiHidden/>
    <w:unhideWhenUsed/>
    <w:rsid w:val="00CC79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79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7900"/>
    <w:rPr>
      <w:b/>
      <w:bCs/>
    </w:rPr>
  </w:style>
  <w:style w:type="character" w:styleId="a5">
    <w:name w:val="Hyperlink"/>
    <w:basedOn w:val="a0"/>
    <w:uiPriority w:val="99"/>
    <w:semiHidden/>
    <w:unhideWhenUsed/>
    <w:rsid w:val="00CC79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FC5D46CEAB363FD619586541838D5A935EBE0313F07F32DCBD746JE01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2026-04-09T12:28:00Z</dcterms:created>
  <dcterms:modified xsi:type="dcterms:W3CDTF">2026-04-09T12:28:00Z</dcterms:modified>
</cp:coreProperties>
</file>